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09/2002/QĐ-BCN Về việc ban hành Định mức dự toán khảo sát thăm dò chuyên ngành than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09/2002/QĐ-BCN</w:t>
      </w:r>
      <w:r>
        <w:rPr>
          <w:b w:val="0"/>
          <w:i w:val="0"/>
        </w:rPr>
        <w:br/>
      </w:r>
      <w:r>
        <w:rPr>
          <w:b w:val="0"/>
          <w:i w:val="0"/>
        </w:rPr>
        <w:br/>
      </w:r>
      <w:r>
        <w:rPr>
          <w:b w:val="0"/>
          <w:i/>
        </w:rPr>
        <w:br/>
      </w:r>
      <w:r>
        <w:rPr>
          <w:b w:val="0"/>
          <w:i/>
        </w:rPr>
        <w:t>Hà Nội, ngày 28 tháng 01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09/2002/QĐ-BCN</w:t>
      </w:r>
      <w:r>
        <w:rPr>
          <w:b w:val="0"/>
          <w:i w:val="0"/>
        </w:rPr>
        <w:br/>
      </w:r>
      <w:r>
        <w:rPr>
          <w:b w:val="0"/>
          <w:i w:val="0"/>
        </w:rPr>
        <w:br/>
      </w:r>
      <w:r>
        <w:rPr>
          <w:b w:val="0"/>
          <w:i/>
        </w:rPr>
        <w:br/>
      </w:r>
      <w:r>
        <w:rPr>
          <w:b w:val="0"/>
          <w:i/>
        </w:rPr>
        <w:t>Hà Nội, ngày 28 tháng 01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09/2002/QĐ-BCN</w:t>
      </w:r>
      <w:r>
        <w:rPr>
          <w:b w:val="0"/>
          <w:i w:val="0"/>
        </w:rPr>
        <w:br/>
      </w:r>
      <w:r>
        <w:rPr>
          <w:b w:val="0"/>
          <w:i w:val="0"/>
        </w:rPr>
        <w:br/>
      </w:r>
      <w:r>
        <w:rPr>
          <w:b w:val="0"/>
          <w:i/>
        </w:rPr>
        <w:br/>
      </w:r>
      <w:r>
        <w:rPr>
          <w:b w:val="0"/>
          <w:i/>
        </w:rPr>
        <w:t>Hà Nội, ngày 28 tháng 01 năm 2002</w:t>
      </w:r>
      <w:r>
        <w:rPr>
          <w:b w:val="0"/>
          <w:i/>
        </w:rPr>
        <w:br/>
      </w:r>
      <w:r>
        <w:rPr>
          <w:b w:val="0"/>
          <w:i w:val="0"/>
        </w:rPr>
        <w:br/>
      </w:r>
    </w:p>
    <w:p>
      <w:pPr>
        <w:jc w:val="center"/>
      </w:pPr>
      <w:r>
        <w:rPr>
          <w:b w:val="0"/>
          <w:i w:val="0"/>
        </w:rPr>
        <w:br/>
      </w:r>
      <w:r>
        <w:rPr>
          <w:b w:val="0"/>
          <w:i w:val="0"/>
        </w:rPr>
        <w:t>Số: 09/2002/QĐ-BCN</w:t>
      </w:r>
      <w:r>
        <w:rPr>
          <w:b w:val="0"/>
          <w:i w:val="0"/>
        </w:rPr>
        <w:br/>
      </w:r>
    </w:p>
    <w:p>
      <w:pPr>
        <w:jc w:val="center"/>
      </w:pPr>
      <w:r>
        <w:rPr>
          <w:b w:val="0"/>
          <w:i w:val="0"/>
        </w:rPr>
        <w:br/>
      </w:r>
      <w:r>
        <w:rPr>
          <w:b w:val="0"/>
          <w:i w:val="0"/>
        </w:rPr>
        <w:t>Hà Nội, ngày 28 tháng 01 năm 2002</w:t>
      </w:r>
      <w:r>
        <w:rPr>
          <w:b w:val="0"/>
          <w:i w:val="0"/>
        </w:rPr>
        <w:br/>
      </w:r>
    </w:p>
    <w:p>
      <w:r>
        <w:rPr>
          <w:b w:val="0"/>
          <w:i w:val="0"/>
        </w:rPr>
        <w:br/>
      </w:r>
      <w:r>
        <w:rPr>
          <w:b/>
          <w:i w:val="0"/>
        </w:rPr>
        <w:t>QUYẾT ĐỊNH CỦA BỘ TRƯỞNG BỘ CÔNG NGHIỆP</w:t>
      </w:r>
      <w:r>
        <w:rPr>
          <w:b w:val="0"/>
          <w:i w:val="0"/>
        </w:rPr>
        <w:br/>
      </w:r>
      <w:r>
        <w:rPr>
          <w:b/>
          <w:i w:val="0"/>
        </w:rPr>
        <w:t>Về việc ban hành Định mức dự toán khảo sát thăm dò chuyên ngành than</w:t>
      </w:r>
      <w:r>
        <w:rPr>
          <w:b/>
          <w:i w:val="0"/>
        </w:rPr>
        <w:t xml:space="preserve"> </w:t>
      </w:r>
      <w:r>
        <w:rPr>
          <w:b w:val="0"/>
          <w:i w:val="0"/>
        </w:rPr>
        <w:br/>
      </w:r>
      <w:r>
        <w:rPr>
          <w:b/>
          <w:i w:val="0"/>
        </w:rPr>
        <w:t>BỘTRƯỞNG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"Quy chế quản lý đầu tư và xây dựng" ban hành kèm theo Nghị định số52/1999/NĐ-CP ngày 08 tháng 7 năm 1999 và sửa đổi, bổ sung tại Nghị định số12/2000/NĐ-CP ngày 05 tháng 5 năm 2000 của Chính phủ;</w:t>
      </w:r>
      <w:r>
        <w:rPr>
          <w:b w:val="0"/>
          <w:i w:val="0"/>
        </w:rPr>
        <w:br/>
      </w:r>
      <w:r>
        <w:rPr>
          <w:b w:val="0"/>
          <w:i/>
        </w:rPr>
        <w:t>Sau khithống nhất với Bộ Xây dựng về thoả thuận ban hành Định mức và Đơn giá khảo sátthăm dò chuyên ngành than (Văn bản số 110/BXD-VKT ngày 22 tháng 01 năm 2002 củaBộ Xây dựng);</w:t>
      </w:r>
      <w:r>
        <w:rPr>
          <w:b w:val="0"/>
          <w:i w:val="0"/>
        </w:rPr>
        <w:br/>
      </w:r>
      <w:r>
        <w:rPr>
          <w:b w:val="0"/>
          <w:i/>
        </w:rPr>
        <w:t>Theo đề nghị của Vụ trưởng Vụ Kế hoạch và Đầu tư,</w:t>
      </w:r>
      <w:r>
        <w:rPr>
          <w:b/>
          <w:i w:val="0"/>
        </w:rPr>
        <w:t xml:space="preserve"> </w:t>
      </w:r>
      <w:r>
        <w:rPr>
          <w:b w:val="0"/>
          <w:i w:val="0"/>
        </w:rPr>
        <w:br/>
      </w:r>
      <w:r>
        <w:rPr>
          <w:b/>
          <w:i w:val="0"/>
        </w:rPr>
        <w:t>QUYẾTĐỊNH:</w:t>
      </w:r>
      <w:r>
        <w:rPr>
          <w:b w:val="0"/>
          <w:i w:val="0"/>
        </w:rPr>
        <w:br/>
      </w:r>
      <w:r>
        <w:rPr>
          <w:b/>
          <w:i w:val="0"/>
        </w:rPr>
        <w:t xml:space="preserve">Điều 1. </w:t>
      </w:r>
      <w:r>
        <w:rPr>
          <w:b w:val="0"/>
          <w:i w:val="0"/>
        </w:rPr>
        <w:t>Ban hành kèm theo Quyết định này tập "Định mức dự toán khảo sát thăm dò chuyên ngành than".</w:t>
      </w:r>
      <w:r>
        <w:rPr>
          <w:b w:val="0"/>
          <w:i w:val="0"/>
        </w:rPr>
        <w:br/>
      </w:r>
      <w:r>
        <w:rPr>
          <w:b/>
          <w:i w:val="0"/>
        </w:rPr>
        <w:t xml:space="preserve">Điều 2. </w:t>
      </w:r>
      <w:r>
        <w:rPr>
          <w:b w:val="0"/>
          <w:i w:val="0"/>
        </w:rPr>
        <w:t>Tập Định mức này là căn cứ để xây dựng đơn giá làm cơ sở lập dự toán và thanh quyết toán khối lượng hoàn thành kể từ quý IV năm 2001.</w:t>
      </w:r>
      <w:r>
        <w:rPr>
          <w:b w:val="0"/>
          <w:i w:val="0"/>
        </w:rPr>
        <w:br/>
      </w:r>
      <w:r>
        <w:rPr>
          <w:b w:val="0"/>
          <w:i w:val="0"/>
        </w:rPr>
        <w:t>Tổng Công ty Than Việt Nam tổ chức theo dõi, kiểm tra và có đánh giá, tổng kết báo cáo Bộ Công nghiệp và Bộ Xây dựng sau 01 năm áp dụng tập Định mức này.</w:t>
      </w:r>
      <w:r>
        <w:rPr>
          <w:b w:val="0"/>
          <w:i w:val="0"/>
        </w:rPr>
        <w:br/>
      </w:r>
      <w:r>
        <w:rPr>
          <w:b/>
          <w:i w:val="0"/>
        </w:rPr>
        <w:t xml:space="preserve">Điều 3. </w:t>
      </w:r>
      <w:r>
        <w:rPr>
          <w:b w:val="0"/>
          <w:i w:val="0"/>
        </w:rPr>
        <w:t>Chánh Thanh tra Bộ, Chánh Văn phòng Bộ, các Vụtrưởng, Cục trưởng thuộc Bộ, Tổng giám đốc Tổng công ty Than Việt Nam và cácđơn vị có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