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09/2006/QĐ-UBND Về việc ban hành Điều lệ Quản lý xây dựng theo quy hoạch </w:t>
        <w:br/>
        <w:t>tại KCN Long Mỹ giai đoạn I (Kể cả phần diện tích mở rộng)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09/2006/QĐ-UBND</w:t>
      </w:r>
      <w:r>
        <w:rPr>
          <w:b w:val="0"/>
          <w:i w:val="0"/>
        </w:rPr>
        <w:br/>
      </w:r>
      <w:r>
        <w:rPr>
          <w:b w:val="0"/>
          <w:i w:val="0"/>
        </w:rPr>
        <w:br/>
      </w:r>
      <w:r>
        <w:rPr>
          <w:b w:val="0"/>
          <w:i/>
        </w:rPr>
        <w:br/>
      </w:r>
      <w:r>
        <w:rPr>
          <w:b w:val="0"/>
          <w:i/>
        </w:rPr>
        <w:t>Quy Nhơn, ngày 17 tháng 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09/2006/QĐ-UBND</w:t>
      </w:r>
      <w:r>
        <w:rPr>
          <w:b w:val="0"/>
          <w:i w:val="0"/>
        </w:rPr>
        <w:br/>
      </w:r>
      <w:r>
        <w:rPr>
          <w:b w:val="0"/>
          <w:i w:val="0"/>
        </w:rPr>
        <w:br/>
      </w:r>
      <w:r>
        <w:rPr>
          <w:b w:val="0"/>
          <w:i/>
        </w:rPr>
        <w:br/>
      </w:r>
      <w:r>
        <w:rPr>
          <w:b w:val="0"/>
          <w:i/>
        </w:rPr>
        <w:t>Quy Nhơn, ngày 17 tháng 1 năm 2006</w:t>
      </w:r>
      <w:r>
        <w:rPr>
          <w:b w:val="0"/>
          <w:i/>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t>TỈNH BÌNH ĐỊNH</w:t>
      </w:r>
      <w:r>
        <w:rPr>
          <w:b w:val="0"/>
          <w:i w:val="0"/>
        </w:rPr>
        <w:br/>
      </w:r>
      <w:r>
        <w:rPr>
          <w:b w:val="0"/>
          <w:i w:val="0"/>
        </w:rPr>
        <w:br/>
      </w:r>
      <w:r>
        <w:rPr>
          <w:b w:val="0"/>
          <w:i w:val="0"/>
        </w:rPr>
        <w:br/>
      </w:r>
    </w:p>
    <w:p>
      <w:r>
        <w:rPr>
          <w:b w:val="0"/>
          <w:i w:val="0"/>
        </w:rPr>
        <w:br/>
        <w:t xml:space="preserve">       ỦY BAN NHÂN DÂN </w:t>
        <w:br/>
        <w:t xml:space="preserve">       </w:t>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09/2006/QĐ-UBND</w:t>
      </w:r>
      <w:r>
        <w:rPr>
          <w:b w:val="0"/>
          <w:i w:val="0"/>
        </w:rPr>
        <w:br/>
      </w:r>
      <w:r>
        <w:rPr>
          <w:b w:val="0"/>
          <w:i w:val="0"/>
        </w:rPr>
        <w:br/>
      </w:r>
      <w:r>
        <w:rPr>
          <w:b w:val="0"/>
          <w:i/>
        </w:rPr>
        <w:br/>
      </w:r>
      <w:r>
        <w:rPr>
          <w:b w:val="0"/>
          <w:i/>
        </w:rPr>
        <w:t>Quy Nhơn, ngày 17 tháng 1 năm 2006</w:t>
      </w:r>
      <w:r>
        <w:rPr>
          <w:b w:val="0"/>
          <w:i/>
        </w:rPr>
        <w:br/>
      </w:r>
      <w:r>
        <w:rPr>
          <w:b w:val="0"/>
          <w:i w:val="0"/>
        </w:rPr>
        <w:br/>
      </w:r>
    </w:p>
    <w:p>
      <w:pPr>
        <w:jc w:val="center"/>
      </w:pPr>
      <w:r>
        <w:rPr>
          <w:b w:val="0"/>
          <w:i w:val="0"/>
        </w:rPr>
        <w:br/>
      </w:r>
      <w:r>
        <w:rPr>
          <w:b w:val="0"/>
          <w:i w:val="0"/>
        </w:rPr>
        <w:t>Số: 09/2006/QĐ-UBND</w:t>
      </w:r>
      <w:r>
        <w:rPr>
          <w:b w:val="0"/>
          <w:i w:val="0"/>
        </w:rPr>
        <w:br/>
      </w:r>
    </w:p>
    <w:p>
      <w:pPr>
        <w:jc w:val="center"/>
      </w:pPr>
      <w:r>
        <w:rPr>
          <w:b w:val="0"/>
          <w:i w:val="0"/>
        </w:rPr>
        <w:br/>
      </w:r>
      <w:r>
        <w:rPr>
          <w:b w:val="0"/>
          <w:i w:val="0"/>
        </w:rPr>
        <w:t>Quy Nhơn, ngày 17 tháng 1 năm 2006</w:t>
      </w:r>
      <w:r>
        <w:rPr>
          <w:b w:val="0"/>
          <w:i w:val="0"/>
        </w:rPr>
        <w:br/>
      </w:r>
    </w:p>
    <w:p>
      <w:r>
        <w:rPr>
          <w:b/>
          <w:i w:val="0"/>
        </w:rPr>
        <w:t>QUYẾT ĐỊNH</w:t>
      </w:r>
    </w:p>
    <w:p>
      <w:r>
        <w:rPr>
          <w:b/>
          <w:i w:val="0"/>
        </w:rPr>
        <w:t xml:space="preserve">Về việc ban hành Điều lệ Quản lý xây dựng theo quy hoạch </w:t>
      </w:r>
    </w:p>
    <w:p>
      <w:r>
        <w:rPr>
          <w:b/>
          <w:i w:val="0"/>
        </w:rPr>
        <w:t>tại KCN Long Mỹ giai đoạn I (Kể cả phần diện tích mở rộng)</w:t>
      </w:r>
    </w:p>
    <w:p>
      <w:r>
        <w:rPr>
          <w:b w:val="0"/>
          <w:i w:val="0"/>
        </w:rPr>
        <w:t xml:space="preserve"> -------------------</w:t>
      </w:r>
    </w:p>
    <w:p>
      <w:r>
        <w:rPr>
          <w:b/>
          <w:i w:val="0"/>
        </w:rPr>
        <w:t>UỶ BAN NHÂN DÂN TỈNH</w:t>
      </w:r>
    </w:p>
    <w:p>
      <w:r>
        <w:rPr>
          <w:b w:val="0"/>
          <w:i w:val="0"/>
        </w:rPr>
        <w:t>Căn cứ Luật Tổ chức HĐND và UBND ngày 21 tháng 11 năm 2003;</w:t>
      </w:r>
    </w:p>
    <w:p>
      <w:r>
        <w:rPr>
          <w:b w:val="0"/>
          <w:i w:val="0"/>
        </w:rPr>
        <w:t>Căn cứ Nghị định số 36/CP ngày 24/4/1997 của Chính phủ về Quy chế khu công nghiệp, khu chế xuất, khu công nghệ cao;</w:t>
      </w:r>
    </w:p>
    <w:p>
      <w:r>
        <w:rPr>
          <w:b w:val="0"/>
          <w:i w:val="0"/>
        </w:rPr>
        <w:t>Căn cứ Thông tư số 04/BXD-KTQH ngày 30/7/1997 của Bộ Xây dựng hướng dẫn thực hiện Nghị định số 36/CP ngày 24/4/1997 của Chính phủ;</w:t>
      </w:r>
    </w:p>
    <w:p>
      <w:r>
        <w:rPr>
          <w:b w:val="0"/>
          <w:i w:val="0"/>
        </w:rPr>
        <w:t>Căn cứ Quyết định số 1419/QĐ-BXD ngày 07/9/2004 Bộ trưởng Bộ Xây dựng về việc phê duyệt quy hoạch chi tiết khu công nghiệp Long Mỹ giai đoạn I và các Văn bản có liên quan của Bộ Xây dựng;</w:t>
      </w:r>
    </w:p>
    <w:p>
      <w:r>
        <w:rPr>
          <w:b w:val="0"/>
          <w:i w:val="0"/>
        </w:rPr>
        <w:t>Xét đề nghị của Trưởng ban Ban Quản lý các khu công nghiệp,</w:t>
      </w:r>
    </w:p>
    <w:p>
      <w:r>
        <w:rPr>
          <w:b/>
          <w:i w:val="0"/>
        </w:rPr>
        <w:t>QUYẾT ĐỊNH:</w:t>
      </w:r>
    </w:p>
    <w:p>
      <w:r>
        <w:rPr>
          <w:b/>
          <w:i w:val="0"/>
        </w:rPr>
        <w:t xml:space="preserve">Điều 1. </w:t>
      </w:r>
      <w:r>
        <w:rPr>
          <w:b w:val="0"/>
          <w:i w:val="0"/>
        </w:rPr>
        <w:t>Ban hành kèm theo Quyết định này Điều lệ quản lý xây dựng theo quy hoạch KCN Long Mỹ giai đoạn I (kể cả phần diện tích mở rộng 10 ha) tại xã Phước Mỹ, huyện Tuy Phước (nay là thành phố Quy Nhơn).</w:t>
      </w:r>
    </w:p>
    <w:p>
      <w:r>
        <w:rPr>
          <w:b/>
          <w:i w:val="0"/>
        </w:rPr>
        <w:t xml:space="preserve">Điều 2. </w:t>
      </w:r>
      <w:r>
        <w:rPr>
          <w:b w:val="0"/>
          <w:i w:val="0"/>
        </w:rPr>
        <w:t>Quyết định này có hiệu lực thực hiện sau 10 ngày kể từ ngày ký.</w:t>
      </w:r>
    </w:p>
    <w:p>
      <w:r>
        <w:rPr>
          <w:b w:val="0"/>
          <w:i w:val="0"/>
        </w:rPr>
        <w:t>Chánh Văn phòng UBND tỉnh, Trưởng ban Ban Quản lý các khu công nghiệp, Giám đốc các Sở Xây dựng, Kế hoạch và Đầu tư, Giám đốc Công ty Phát triển hạ tầng các KCN, Chủ tịch UBND thành phố Quy Nhơn, Thủ trưởng các cơ quan, đơn vị có liên quan và các doanh nghiệp trong khu công nghiệp Long Mỹ giai đoạn I (kể cả mở rộng) chịu trách nhiệm thi hành Quyết định này.</w:t>
      </w:r>
    </w:p>
    <w:p>
      <w:r>
        <w:rPr>
          <w:b w:val="0"/>
          <w:i w:val="0"/>
        </w:rPr>
        <w:br/>
      </w:r>
      <w:r>
        <w:rPr>
          <w:b w:val="0"/>
          <w:i w:val="0"/>
        </w:rPr>
        <w:br/>
      </w:r>
      <w:r>
        <w:rPr>
          <w:b/>
          <w:i w:val="0"/>
        </w:rPr>
        <w:br/>
      </w:r>
      <w:r>
        <w:rPr>
          <w:b/>
          <w:i w:val="0"/>
        </w:rPr>
        <w:br/>
      </w:r>
      <w:r>
        <w:rPr>
          <w:b/>
          <w:i w:val="0"/>
        </w:rPr>
        <w:t xml:space="preserve">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Thiện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Thiện</w:t>
      </w:r>
      <w:r>
        <w:rPr>
          <w:b/>
          <w:i w:val="0"/>
        </w:rPr>
        <w:br/>
      </w:r>
      <w:r>
        <w:rPr>
          <w:b/>
          <w:i w:val="0"/>
        </w:rPr>
        <w:br/>
      </w:r>
      <w:r>
        <w:rPr>
          <w:b w:val="0"/>
          <w:i w:val="0"/>
        </w:rPr>
        <w:br/>
      </w:r>
    </w:p>
    <w:p>
      <w:pPr>
        <w:jc w:val="center"/>
      </w:pPr>
      <w:r>
        <w:rPr>
          <w:b w:val="0"/>
          <w:i w:val="0"/>
        </w:rPr>
        <w:br/>
      </w:r>
      <w:r>
        <w:rPr>
          <w:b/>
          <w:i w:val="0"/>
        </w:rPr>
        <w:br/>
      </w:r>
      <w:r>
        <w:rPr>
          <w:b/>
          <w:i w:val="0"/>
        </w:rPr>
        <w:t xml:space="preserve">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Thiện</w:t>
      </w:r>
      <w:r>
        <w:rPr>
          <w:b/>
          <w:i w:val="0"/>
        </w:rPr>
        <w:br/>
      </w:r>
      <w:r>
        <w:rPr>
          <w:b w:val="0"/>
          <w:i w:val="0"/>
        </w:rPr>
        <w:br/>
      </w:r>
    </w:p>
    <w:p>
      <w:r>
        <w:rPr>
          <w:b w:val="0"/>
          <w:i w:val="0"/>
        </w:rPr>
        <w:br/>
      </w:r>
      <w:r>
        <w:rPr>
          <w:b w:val="0"/>
          <w:i w:val="0"/>
        </w:rPr>
        <w:t xml:space="preserve">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Thiện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