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09/2006/QĐ-UBND V/v: Ban hành "Đơn giá ca máy và thiết bị thi công" trên địa bàn tỉnh Điện Biên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ĐIỆN BIÊN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r>
        <w:br/>
      </w:r>
      <w:r>
        <w:rPr>
          <w:b/>
          <w:i w:val="0"/>
        </w:rPr>
        <w:t>V/v: Ban hành "Đơn giá ca máy và thiết bị thi công"</w:t>
      </w:r>
      <w:r>
        <w:br/>
      </w:r>
      <w:r>
        <w:rPr>
          <w:b/>
          <w:i w:val="0"/>
        </w:rPr>
        <w:br/>
        <w:t xml:space="preserve">     trên địa bàn tỉnh Điện Biên.</w:t>
      </w:r>
    </w:p>
    <w:p>
      <w:pPr>
        <w:jc w:val="center"/>
      </w:pPr>
      <w:r>
        <w:rPr>
          <w:b/>
          <w:i w:val="0"/>
        </w:rPr>
        <w:t>ỦY BAN NHÂN DÂN TỈNH ĐIỆN BIÊN</w:t>
      </w:r>
    </w:p>
    <w:p>
      <w:r>
        <w:rPr>
          <w:b w:val="0"/>
          <w:i w:val="0"/>
        </w:rPr>
        <w:t>Căn cứ Luật tổ chức HĐND và UBND ngày 26/11/2003;</w:t>
      </w:r>
    </w:p>
    <w:p>
      <w:r>
        <w:rPr>
          <w:b w:val="0"/>
          <w:i w:val="0"/>
        </w:rPr>
        <w:t>Căn cứ Luật ban hành văn bản quy phạm pháp luật của Hội đồng nhân dân và Ủy ban nhân dân ngày 3/12/2004;</w:t>
      </w:r>
    </w:p>
    <w:p>
      <w:r>
        <w:rPr>
          <w:b w:val="0"/>
          <w:i w:val="0"/>
        </w:rPr>
        <w:t>Căn cứ Nghị định số 205/2004/NĐ-CP ngày 14/12/2004 của Chính Phủ quy định hệ thống thang lương, bảng lương và các chế độ phụ cấp lương trong các công ty Nhà nước;</w:t>
      </w:r>
    </w:p>
    <w:p>
      <w:r>
        <w:rPr>
          <w:b w:val="0"/>
          <w:i w:val="0"/>
        </w:rPr>
        <w:t>Căn cứ vào Nghị định số 206/2005/NĐ-CP ngày 15/9/2005 của Chính Phủ về việc điều chỉnh mức lương tối thiểu;</w:t>
      </w:r>
    </w:p>
    <w:p>
      <w:r>
        <w:rPr>
          <w:b w:val="0"/>
          <w:i w:val="0"/>
        </w:rPr>
        <w:t>Căn cứ Thông tư số 05/2005/TT-BLĐTBXH ngày 05/01/2005 của Bộ Lao động - Thương binh và xã hội hướng dẫn thực hiện chế độ phụ cấp lưu động trong các công ty Nhà nước;</w:t>
      </w:r>
    </w:p>
    <w:p>
      <w:r>
        <w:rPr>
          <w:b w:val="0"/>
          <w:i w:val="0"/>
        </w:rPr>
        <w:t>Căn cứ Thông tư số 11/2005/TTLT-BNV-BLĐTBXH-BTC-UBDT ngày 05/01/2005 của Liên Bộ Xây dựng, Nội vụ, Lao động thương binh và xã hội, Tài chính và Ủy ban dân tộc về hướng dẫn thực hiện chế độ phụ cấp khu vực;</w:t>
      </w:r>
    </w:p>
    <w:p>
      <w:r>
        <w:rPr>
          <w:b w:val="0"/>
          <w:i w:val="0"/>
        </w:rPr>
        <w:t>Căn cứ Thông tư số 06/2005/TT-BXD ngày 15 tháng 4 năm 2005 của Bộ Xây dựng hướng dẫn phương pháp xây dựng giá ca máy và thiết bị thi công;</w:t>
      </w:r>
    </w:p>
    <w:p>
      <w:r>
        <w:rPr>
          <w:b w:val="0"/>
          <w:i w:val="0"/>
        </w:rPr>
        <w:t>Căn cứ Thông tư số 03/2006/TT-BXD ngày 22 tháng 5 năm 2006 của Bộ Xây dựng về việc hướng dẫn bổ sung một số nội dung của các Thông tư số 02/2005/TT-BXD, Thông tư số 04/2005/TT-BXD và Thông tư số 06/2006/TT-BXD của Bộ Xây dựng;</w:t>
      </w:r>
    </w:p>
    <w:p>
      <w:r>
        <w:rPr>
          <w:b w:val="0"/>
          <w:i w:val="0"/>
        </w:rPr>
        <w:t>Theo đề nghị của Giám đốc Sở Xây dựng,</w:t>
      </w:r>
    </w:p>
    <w:p>
      <w:pPr>
        <w:jc w:val="center"/>
      </w:pPr>
      <w:r>
        <w:rPr>
          <w:b/>
          <w:i w:val="0"/>
        </w:rPr>
        <w:t>QUYẾT ĐỊNH:</w:t>
      </w:r>
    </w:p>
    <w:p>
      <w:r>
        <w:rPr>
          <w:b/>
          <w:i w:val="0"/>
        </w:rPr>
        <w:t>Điều 1.</w:t>
      </w:r>
      <w:r>
        <w:rPr>
          <w:b/>
          <w:i w:val="0"/>
        </w:rPr>
        <w:t xml:space="preserve"> </w:t>
      </w:r>
      <w:r>
        <w:rPr>
          <w:b w:val="0"/>
          <w:i w:val="0"/>
        </w:rPr>
        <w:t>Ban hành kèm theo Quyết định này “Đơn giá ca máy và thiết bị thi công trên địa bàn tỉnh Điện Biên”.</w:t>
      </w:r>
    </w:p>
    <w:p>
      <w:r>
        <w:rPr>
          <w:b/>
          <w:i w:val="0"/>
        </w:rPr>
        <w:t>Điều 2.</w:t>
      </w:r>
      <w:r>
        <w:rPr>
          <w:b/>
          <w:i w:val="0"/>
        </w:rPr>
        <w:t xml:space="preserve"> </w:t>
      </w:r>
      <w:r>
        <w:rPr>
          <w:b w:val="0"/>
          <w:i w:val="0"/>
        </w:rPr>
        <w:t>Quyết định này thay thế Quyết định số 21/2005/QĐ-UBND ngày 12/8/2005 của UBND tỉnh Điện Biên về việc ban hành đơn giá ca máy và thiết bị thi công trên địa bàn tỉnh Điện Biên.</w:t>
      </w:r>
    </w:p>
    <w:p>
      <w:r>
        <w:rPr>
          <w:b/>
          <w:i w:val="0"/>
        </w:rPr>
        <w:t>Điều 3.</w:t>
      </w:r>
      <w:r>
        <w:rPr>
          <w:b/>
          <w:i w:val="0"/>
        </w:rPr>
        <w:t xml:space="preserve"> </w:t>
      </w:r>
      <w:r>
        <w:rPr>
          <w:b w:val="0"/>
          <w:i w:val="0"/>
        </w:rPr>
        <w:t>Quyết định này có hiệu lực thi hành sau 10 ngày kể từ ngày ký.</w:t>
      </w:r>
    </w:p>
    <w:p>
      <w:r>
        <w:rPr>
          <w:b/>
          <w:i w:val="0"/>
        </w:rPr>
        <w:t>Điều 4.</w:t>
      </w:r>
      <w:r>
        <w:rPr>
          <w:b/>
          <w:i w:val="0"/>
        </w:rPr>
        <w:t xml:space="preserve"> </w:t>
      </w:r>
      <w:r>
        <w:rPr>
          <w:b w:val="0"/>
          <w:i w:val="0"/>
        </w:rPr>
        <w:t>Chánh Văn phòng UBND tỉnh, Giám đốc các Sở, Ban ngành, Chủ tịch UBND các huyện, thị xã, thành phố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rPr>
                <w:b w:val="0"/>
                <w:i w:val="0"/>
              </w:rPr>
              <w:br/>
            </w:r>
            <w:r>
              <w:rPr>
                <w:b w:val="0"/>
                <w:i w:val="0"/>
              </w:rPr>
              <w:br/>
            </w:r>
            <w:r>
              <w:rPr>
                <w:b w:val="0"/>
                <w:i w:val="0"/>
              </w:rPr>
              <w:t>Như điều 4;</w:t>
            </w:r>
            <w:r>
              <w:rPr>
                <w:b w:val="0"/>
                <w:i w:val="0"/>
              </w:rPr>
              <w:br/>
            </w:r>
            <w:r>
              <w:rPr>
                <w:b w:val="0"/>
                <w:i w:val="0"/>
              </w:rPr>
              <w:t>Bộ Xây dựng (B/C);</w:t>
            </w:r>
            <w:r>
              <w:rPr>
                <w:b w:val="0"/>
                <w:i w:val="0"/>
              </w:rPr>
              <w:br/>
            </w:r>
            <w:r>
              <w:rPr>
                <w:b w:val="0"/>
                <w:i w:val="0"/>
              </w:rPr>
              <w:t>TT tỉnh ủy (B/C);</w:t>
            </w:r>
            <w:r>
              <w:rPr>
                <w:b w:val="0"/>
                <w:i w:val="0"/>
              </w:rPr>
              <w:br/>
            </w:r>
            <w:r>
              <w:rPr>
                <w:b w:val="0"/>
                <w:i w:val="0"/>
              </w:rPr>
              <w:t>TT HĐND tỉnh;</w:t>
            </w:r>
            <w:r>
              <w:rPr>
                <w:b w:val="0"/>
                <w:i w:val="0"/>
              </w:rPr>
              <w:br/>
            </w:r>
            <w:r>
              <w:rPr>
                <w:b w:val="0"/>
                <w:i w:val="0"/>
              </w:rPr>
              <w:t>TT UBND tỉnh;</w:t>
            </w:r>
            <w:r>
              <w:rPr>
                <w:b w:val="0"/>
                <w:i w:val="0"/>
              </w:rPr>
              <w:br/>
            </w:r>
            <w:r>
              <w:rPr>
                <w:b w:val="0"/>
                <w:i w:val="0"/>
              </w:rPr>
              <w:t>Website Chính phủ;</w:t>
            </w:r>
            <w:r>
              <w:rPr>
                <w:b w:val="0"/>
                <w:i w:val="0"/>
              </w:rPr>
              <w:br/>
            </w:r>
            <w:r>
              <w:rPr>
                <w:b w:val="0"/>
                <w:i w:val="0"/>
              </w:rPr>
              <w:t>Cục KTr VB - Bộ Tư pháp;</w:t>
            </w:r>
            <w:r>
              <w:rPr>
                <w:b w:val="0"/>
                <w:i w:val="0"/>
              </w:rPr>
              <w:br/>
            </w:r>
            <w:r>
              <w:rPr>
                <w:b w:val="0"/>
                <w:i w:val="0"/>
              </w:rPr>
              <w:t>Sở Tư pháp, TT Công báo tỉnh;</w:t>
            </w:r>
            <w:r>
              <w:rPr>
                <w:b w:val="0"/>
                <w:i w:val="0"/>
              </w:rPr>
              <w:br/>
            </w:r>
            <w:r>
              <w:rPr>
                <w:b w:val="0"/>
                <w:i w:val="0"/>
              </w:rPr>
              <w:t>Lưu VP, CV các khối.</w:t>
            </w:r>
            <w:r>
              <w:rPr>
                <w:b w:val="0"/>
                <w:i w:val="0"/>
              </w:rPr>
              <w:br/>
            </w:r>
          </w:p>
        </w:tc>
        <w:tc>
          <w:tcPr>
            <w:tcW w:type="dxa" w:w="4320"/>
          </w:tcPr>
          <w:p>
            <w:r>
              <w:rPr>
                <w:b w:val="0"/>
                <w:i w:val="0"/>
              </w:rPr>
              <w:br/>
            </w:r>
            <w:r>
              <w:rPr>
                <w:b/>
                <w:i w:val="0"/>
              </w:rPr>
              <w:t>TM. ỦY BAN NHÂN DÂN TỈNH</w:t>
            </w:r>
            <w:r>
              <w:br/>
            </w:r>
            <w:r>
              <w:rPr>
                <w:b/>
                <w:i w:val="0"/>
              </w:rPr>
              <w:t>KT. CHỦ TỊCH</w:t>
            </w:r>
            <w:r>
              <w:br/>
            </w:r>
            <w:r>
              <w:rPr>
                <w:b/>
                <w:i w:val="0"/>
              </w:rPr>
              <w:t>PHÓ CHỦ TỊCH</w:t>
            </w:r>
            <w:r>
              <w:rPr>
                <w:b w:val="0"/>
                <w:i w:val="0"/>
              </w:rPr>
              <w:br/>
            </w:r>
            <w:r>
              <w:rPr>
                <w:b w:val="0"/>
                <w:i/>
              </w:rPr>
              <w:t>(Ký tên, đóng dấu)</w:t>
            </w:r>
            <w:r>
              <w:br/>
            </w:r>
            <w:r>
              <w:rPr>
                <w:b/>
                <w:i w:val="0"/>
              </w:rPr>
              <w:t>Bùi Viết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