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09/2015/TT-BTC Hướng dẫn giao dịch tài chính của doanh nghiệp theo quy định tại Điều 6 Nghị định số 222/2013/NĐ-CP ngày 31/12/2013 của Chính phủ về thanh toán bằng tiền mặt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br/>
            </w:r>
            <w:r>
              <w:rPr>
                <w:b/>
                <w:i w:val="0"/>
              </w:rPr>
              <w:t>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r>
            <w:r>
              <w:rPr>
                <w:b/>
                <w:i w:val="0"/>
              </w:rPr>
              <w:t>_____________________</w:t>
            </w:r>
          </w:p>
        </w:tc>
      </w:tr>
    </w:tbl>
    <w:p>
      <w:pPr>
        <w:jc w:val="center"/>
      </w:pPr>
      <w:r>
        <w:rPr>
          <w:b/>
          <w:i w:val="0"/>
        </w:rPr>
        <w:t>THÔNG TƯ</w:t>
      </w:r>
    </w:p>
    <w:p>
      <w:pPr>
        <w:jc w:val="center"/>
      </w:pPr>
      <w:r>
        <w:rPr>
          <w:b/>
          <w:i w:val="0"/>
        </w:rPr>
        <w:t>Hướng dẫn giao dịch tài chính của doanh nghiệp theo quy định tại Điều 6</w:t>
      </w:r>
    </w:p>
    <w:p>
      <w:pPr>
        <w:jc w:val="center"/>
      </w:pPr>
      <w:r>
        <w:rPr>
          <w:b/>
          <w:i w:val="0"/>
        </w:rPr>
        <w:t>Nghị định số 222/2013/NĐ-CP ngày 31/12/2013 của Chính phủ</w:t>
      </w:r>
    </w:p>
    <w:p>
      <w:pPr>
        <w:jc w:val="center"/>
      </w:pPr>
      <w:r>
        <w:rPr>
          <w:b/>
          <w:i w:val="0"/>
        </w:rPr>
        <w:t>về thanh toán bằng tiền mặt</w:t>
      </w:r>
    </w:p>
    <w:p>
      <w:pPr>
        <w:jc w:val="center"/>
      </w:pPr>
      <w:r>
        <w:rPr>
          <w:b/>
          <w:i w:val="0"/>
        </w:rPr>
        <w:t>___________</w:t>
      </w:r>
    </w:p>
    <w:p>
      <w:r>
        <w:rPr>
          <w:b w:val="0"/>
          <w:i/>
        </w:rPr>
        <w:t xml:space="preserve">Căn cứ Nghị định số </w:t>
      </w:r>
      <w:r>
        <w:rPr>
          <w:b w:val="0"/>
          <w:i/>
        </w:rPr>
        <w:t>215/2013/NĐ-CP ngày 23/12/2013 của Chính phủ quy định chức năng, nhiệm vụ, quyền hạn và cơ cấu tổ chức Bộ Tài chính;</w:t>
      </w:r>
    </w:p>
    <w:p>
      <w:r>
        <w:rPr>
          <w:b w:val="0"/>
          <w:i/>
        </w:rPr>
        <w:t xml:space="preserve">Căn cứ Nghị định số </w:t>
      </w:r>
      <w:r>
        <w:rPr>
          <w:b w:val="0"/>
          <w:i/>
        </w:rPr>
        <w:t>222/2013/NĐ-CP ngày 31/12/2013 của Chính phủ về thanh toán bằng tiền mặt;</w:t>
      </w:r>
    </w:p>
    <w:p>
      <w:r>
        <w:rPr>
          <w:b w:val="0"/>
          <w:i/>
        </w:rPr>
        <w:t>Theo đề nghị của Cục trưởng Cục Tài chính doanh nghiệp;</w:t>
      </w:r>
    </w:p>
    <w:p>
      <w:r>
        <w:rPr>
          <w:b w:val="0"/>
          <w:i/>
        </w:rPr>
        <w:t>Bộ trưởng Bộ Tài chính ban hành Thông tư hướng dẫn giao dịch tài chính của doanh nghiệp theo quy định tại Điều 6 Nghị định số 222/2013/NĐ-CP của Chính phủ,</w:t>
      </w:r>
    </w:p>
    <w:p>
      <w:r>
        <w:rPr>
          <w:b/>
          <w:i w:val="0"/>
        </w:rPr>
        <w:t>Điều 1. Phạm vi điều chỉnh</w:t>
      </w:r>
    </w:p>
    <w:p>
      <w:r>
        <w:rPr>
          <w:b w:val="0"/>
          <w:i w:val="0"/>
        </w:rPr>
        <w:t>Thông tư này hướng dẫn hình thức thanh toán của doanh nghiệp trong các giao dịch góp vốn và mua bán, chuyển nhượng phần vốn góp vào doanh nghiệp khác; và hình thức thanh toán của các doanh nghiệp không phải là tổ chức tín dụng trong quan hệ vay, cho vay và trả nợ vay lẫn nhau trên lãnh thổ Việt Nam.</w:t>
      </w:r>
    </w:p>
    <w:p>
      <w:r>
        <w:rPr>
          <w:b/>
          <w:i w:val="0"/>
        </w:rPr>
        <w:t>Điều 2. Đối tượng áp dụng</w:t>
      </w:r>
    </w:p>
    <w:p>
      <w:r>
        <w:rPr>
          <w:b w:val="0"/>
          <w:i w:val="0"/>
        </w:rPr>
        <w:t>Các doanh nghiệp và tổ chức có liên quan trong quan hệ giao dịch quy định tại Điều 1 Thông tư này.</w:t>
      </w:r>
    </w:p>
    <w:p>
      <w:r>
        <w:rPr>
          <w:b/>
          <w:i w:val="0"/>
        </w:rPr>
        <w:t>Điều 3. Hình thức thanh toán trong giao dịch góp vốn và mua bán, chuyển nhượng phần vốn góp vào doanh nghiệp khác</w:t>
      </w:r>
    </w:p>
    <w:p>
      <w:r>
        <w:rPr>
          <w:b w:val="0"/>
          <w:i w:val="0"/>
        </w:rPr>
        <w:t>1. Các doanh nghiệp không sử dụng tiền mặt (tiền giấy, tiền kim loại do Ngân hàng Nhà nước phát hành) để thanh toán khi thực hiện các giao dịch góp vốn và mua bán, chuyển nhượng phần vốn góp vào doanh nghiệp khác.</w:t>
      </w:r>
    </w:p>
    <w:p>
      <w:r>
        <w:rPr>
          <w:b w:val="0"/>
          <w:i w:val="0"/>
        </w:rPr>
        <w:t>2. Khi thực hiện giao dịch góp vốn và mua bán, chuyển nhượng phần vốn góp vào doanh nghiệp khác, các doanh nghiệp sử dụng các hình thức sau:</w:t>
      </w:r>
    </w:p>
    <w:p>
      <w:r>
        <w:rPr>
          <w:b w:val="0"/>
          <w:i w:val="0"/>
        </w:rPr>
        <w:t>a) Thanh toán bằng Séc;</w:t>
      </w:r>
    </w:p>
    <w:p>
      <w:r>
        <w:rPr>
          <w:b w:val="0"/>
          <w:i w:val="0"/>
        </w:rPr>
        <w:t>b) Thanh toán bằng ủy nhiệm chi – chuyển tiền;</w:t>
      </w:r>
    </w:p>
    <w:p>
      <w:r>
        <w:rPr>
          <w:b w:val="0"/>
          <w:i w:val="0"/>
        </w:rPr>
        <w:t>c) Các hình thức thanh toán không sử dụng tiền mặt phù hợp khác theo quy định hiện hành.</w:t>
      </w:r>
    </w:p>
    <w:p>
      <w:r>
        <w:rPr>
          <w:b w:val="0"/>
          <w:i w:val="0"/>
        </w:rPr>
        <w:t>3. Doanh nghiệp khi thực hiện giao dịch góp vốn và mua bán, chuyển nhượng phần vốn góp vào doanh nghiệp khác bằng tài sản (không phải bằng tiền) thực hiện theo quy định của pháp luật về doanh nghiệp.</w:t>
      </w:r>
    </w:p>
    <w:p>
      <w:r>
        <w:rPr>
          <w:b/>
          <w:i w:val="0"/>
        </w:rPr>
        <w:t>Điều 4. Hình thức thanh toán trong giao dịch vay, cho vay và trả nợ vay lẫn nhau giữa các doanh nghiệp không phải là tổ chức tín dụng</w:t>
      </w:r>
    </w:p>
    <w:p>
      <w:r>
        <w:rPr>
          <w:b w:val="0"/>
          <w:i w:val="0"/>
        </w:rPr>
        <w:t>1. Các doanh nghiệp không phải tổ chức tín dụng (là các doanh nghiệp không thành lập, tổ chức và hoạt động theo quy định của Luật các tổ chức tín dụng) khi thực hiện các giao dịch vay, cho vay và trả nợ vay lẫn nhau sử dụng các hình thức thanh toán được quy định tại khoản 2 Điều 3 Thông tư này.</w:t>
      </w:r>
    </w:p>
    <w:p>
      <w:r>
        <w:rPr>
          <w:b w:val="0"/>
          <w:i w:val="0"/>
        </w:rPr>
        <w:t>2. Các doanh nghiệp không phải tổ chức tín dụng khi thực hiện giao dịch vay, cho vay và trả nợ vay lẫn nhau bằng tài sản (không phải bằng tiền), đối trừ công nợ, chuyển giao nghĩa vụ nợ thực hiện theo quy định của pháp luật về doanh nghiệp.</w:t>
      </w:r>
    </w:p>
    <w:p>
      <w:r>
        <w:rPr>
          <w:b/>
          <w:i w:val="0"/>
        </w:rPr>
        <w:t>Điều 5. Tổ chức thực hiện</w:t>
      </w:r>
    </w:p>
    <w:p>
      <w:r>
        <w:rPr>
          <w:b w:val="0"/>
          <w:i w:val="0"/>
        </w:rPr>
        <w:t>1. Thông tư này có hiệu lực thi hành kể từ ngày 17/03/2015.</w:t>
      </w:r>
    </w:p>
    <w:p>
      <w:r>
        <w:rPr>
          <w:b w:val="0"/>
          <w:i w:val="0"/>
        </w:rPr>
        <w:t>2. Doanh nghiệp có hành vi vi phạm khi thực hiện các giao dịch tài chính quy định tại Thông tư này sẽ bị xử lý theo quy định của pháp luật hiện hành.</w:t>
      </w:r>
    </w:p>
    <w:p>
      <w:r>
        <w:rPr>
          <w:b w:val="0"/>
          <w:i w:val="0"/>
        </w:rPr>
        <w:t>3. Trong quá trình thực hiện nếu phát sinh vướng mắc đề nghị phản ánh về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w:t>
            </w:r>
            <w:r>
              <w:br/>
            </w:r>
            <w:r>
              <w:rPr>
                <w:b w:val="0"/>
                <w:i w:val="0"/>
              </w:rPr>
              <w:t>- Văn phòng Trung ương và các ban của Đảng;</w:t>
            </w:r>
            <w:r>
              <w:br/>
            </w:r>
            <w:r>
              <w:rPr>
                <w:b w:val="0"/>
                <w:i w:val="0"/>
              </w:rPr>
              <w:t>- Văn phòng Tổng bí thư;</w:t>
            </w:r>
            <w:r>
              <w:br/>
            </w:r>
            <w:r>
              <w:rPr>
                <w:b w:val="0"/>
                <w:i w:val="0"/>
              </w:rPr>
              <w:t>- Văn phòng Quốc hội;</w:t>
            </w:r>
            <w:r>
              <w:br/>
            </w:r>
            <w:r>
              <w:rPr>
                <w:b w:val="0"/>
                <w:i w:val="0"/>
              </w:rPr>
              <w:t>- Văn phòng Chủ tịch nước;</w:t>
            </w:r>
            <w:r>
              <w:br/>
            </w:r>
            <w:r>
              <w:rPr>
                <w:b w:val="0"/>
                <w:i w:val="0"/>
              </w:rPr>
              <w:t>- Ban chỉ đạo Trung ương về phòng chống tham nhũng;</w:t>
            </w:r>
            <w:r>
              <w:br/>
            </w:r>
            <w:r>
              <w:rPr>
                <w:b w:val="0"/>
                <w:i w:val="0"/>
              </w:rPr>
              <w:t>- Các Bộ, cơ quan ngang Bộ;</w:t>
            </w:r>
            <w:r>
              <w:br/>
            </w:r>
            <w:r>
              <w:rPr>
                <w:b w:val="0"/>
                <w:i w:val="0"/>
              </w:rPr>
              <w:t>- Các cơ quan thuộc Chính phủ;</w:t>
            </w:r>
            <w:r>
              <w:br/>
            </w:r>
            <w:r>
              <w:rPr>
                <w:b w:val="0"/>
                <w:i w:val="0"/>
              </w:rPr>
              <w:t>- Cơ quan Trung ương của các đoàn thể;</w:t>
            </w:r>
            <w:r>
              <w:br/>
            </w:r>
            <w:r>
              <w:rPr>
                <w:b w:val="0"/>
                <w:i w:val="0"/>
              </w:rPr>
              <w:t>- Toà án nhân dân tối cao;</w:t>
            </w:r>
            <w:r>
              <w:br/>
            </w:r>
            <w:r>
              <w:rPr>
                <w:b w:val="0"/>
                <w:i w:val="0"/>
              </w:rPr>
              <w:t>- Viện Kiểm sát nhân dân tối cao;</w:t>
            </w:r>
            <w:r>
              <w:br/>
            </w:r>
            <w:r>
              <w:rPr>
                <w:b w:val="0"/>
                <w:i w:val="0"/>
              </w:rPr>
              <w:t>- Kiểm toán Nhà nước;</w:t>
            </w:r>
            <w:r>
              <w:br/>
            </w:r>
            <w:r>
              <w:rPr>
                <w:b w:val="0"/>
                <w:i w:val="0"/>
              </w:rPr>
              <w:t>- Sở Tài chính, Cục thuế các tỉnh, TP trực thuộc Trung ương;</w:t>
            </w:r>
            <w:r>
              <w:br/>
            </w:r>
            <w:r>
              <w:rPr>
                <w:b w:val="0"/>
                <w:i w:val="0"/>
              </w:rPr>
              <w:t>- Các Tập đoàn kinh tế nhà nước; Tổng công ty nhà nước;</w:t>
            </w:r>
            <w:r>
              <w:br/>
            </w:r>
            <w:r>
              <w:rPr>
                <w:b w:val="0"/>
                <w:i w:val="0"/>
              </w:rPr>
              <w:t>- Cục Kiểm tra văn bản (Bộ Tư pháp);</w:t>
            </w:r>
            <w:r>
              <w:br/>
            </w:r>
            <w:r>
              <w:rPr>
                <w:b w:val="0"/>
                <w:i w:val="0"/>
              </w:rPr>
              <w:t>- Công báo;</w:t>
            </w:r>
            <w:r>
              <w:br/>
            </w:r>
            <w:r>
              <w:rPr>
                <w:b w:val="0"/>
                <w:i w:val="0"/>
              </w:rPr>
              <w:t>- Website Chính phủ;</w:t>
            </w:r>
            <w:r>
              <w:br/>
            </w:r>
            <w:r>
              <w:rPr>
                <w:b w:val="0"/>
                <w:i w:val="0"/>
              </w:rPr>
              <w:t>- Các đơn vị thuộc Bộ Tài chính;</w:t>
            </w:r>
            <w:r>
              <w:br/>
            </w:r>
            <w:r>
              <w:rPr>
                <w:b w:val="0"/>
                <w:i w:val="0"/>
              </w:rPr>
              <w:t>- Website Bộ Tài chính;</w:t>
            </w:r>
            <w:r>
              <w:br/>
            </w:r>
            <w:r>
              <w:rPr>
                <w:b w:val="0"/>
                <w:i w:val="0"/>
              </w:rPr>
              <w:t>- Lưu: VT, Cục TCDN.</w:t>
            </w:r>
          </w:p>
        </w:tc>
        <w:tc>
          <w:tcPr>
            <w:tcW w:type="dxa" w:w="4320"/>
          </w:tcPr>
          <w:p>
            <w:r>
              <w:rPr>
                <w:b w:val="0"/>
                <w:i w:val="0"/>
              </w:rPr>
              <w:br/>
            </w:r>
            <w:r>
              <w:rPr>
                <w:b/>
                <w:i w:val="0"/>
              </w:rPr>
              <w:t>KT. BỘ TRƯỞNG</w:t>
            </w:r>
            <w:r>
              <w:br/>
            </w:r>
            <w:r>
              <w:rPr>
                <w:b/>
                <w:i w:val="0"/>
              </w:rPr>
              <w:br/>
              <w:t xml:space="preserve">          THỨ TRƯỞNG</w:t>
            </w:r>
            <w:r>
              <w:br/>
            </w:r>
            <w:r>
              <w:rPr>
                <w:b/>
                <w:i/>
              </w:rPr>
              <w:t>(Đã ký)</w:t>
            </w:r>
            <w:r>
              <w:br/>
            </w:r>
            <w:r>
              <w:br/>
            </w:r>
            <w:r>
              <w:br/>
            </w:r>
            <w:r>
              <w:br/>
            </w:r>
            <w:r>
              <w:rPr>
                <w:b/>
                <w:i w:val="0"/>
              </w:rPr>
              <w:br/>
              <w:t xml:space="preserve">          Trần Văn Hiếu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