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09/QĐ-NH5 Về việc chấp thuận bổ nhiệm Công ty KPMG Peat Marwick làm kiểm toán cho Ngân hàng ANZ- Chi nhánh Hà Nội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 NHÀ NƯỚC</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 CỦA THỐNG ĐỐC NGÂN HÀNG NHÀ NƯỚC</w:t>
      </w:r>
    </w:p>
    <w:p>
      <w:r>
        <w:rPr>
          <w:b/>
          <w:i/>
        </w:rPr>
        <w:t xml:space="preserve">Về việc chấp nhận bổ nhiệm Công ty </w:t>
      </w:r>
    </w:p>
    <w:p>
      <w:r>
        <w:rPr>
          <w:b/>
          <w:i/>
        </w:rPr>
        <w:t xml:space="preserve">KPMG PEAT MARWICK làm kiểm toán cho ngân hàng ANZ - chi nhánh Hà Nội </w:t>
      </w:r>
    </w:p>
    <w:p>
      <w:r>
        <w:rPr>
          <w:b/>
          <w:i w:val="0"/>
        </w:rPr>
        <w:t xml:space="preserve"> ____________________</w:t>
      </w:r>
    </w:p>
    <w:p>
      <w:r>
        <w:rPr>
          <w:b/>
          <w:i w:val="0"/>
        </w:rPr>
        <w:t>THỐNG ĐỐC NGÂN HÀNG NHÀ NƯỚC</w:t>
      </w:r>
    </w:p>
    <w:p>
      <w:pPr>
        <w:jc w:val="both"/>
      </w:pPr>
      <w:r>
        <w:rPr>
          <w:b w:val="0"/>
          <w:i/>
        </w:rPr>
        <w:t>Căn cứ Pháp lệnh Ngân hàng, Hợp tác xã tín dụng và Công ty Tài chính công bố tại Lệnh số 38/LCT-HĐNN8 ngày 24 tháng 5 năm 1990 của Chủ tịch Hội đồng Nhà nước;</w:t>
      </w:r>
    </w:p>
    <w:p>
      <w:pPr>
        <w:jc w:val="both"/>
      </w:pPr>
      <w:r>
        <w:rPr>
          <w:b w:val="0"/>
          <w:i/>
        </w:rPr>
        <w:t>Căn cứ Nghị định số 189/HĐBT ngày 15 tháng 6 năm 1992 của Hội đồng Bộ trưởng (nay là Chính phủ) ban hành Quy chế chi nhánh Ngân hàng nước ngoài, Ngân hàng liên doanh tại Việt Nam;</w:t>
      </w:r>
    </w:p>
    <w:p>
      <w:pPr>
        <w:jc w:val="both"/>
      </w:pPr>
      <w:r>
        <w:rPr>
          <w:b w:val="0"/>
          <w:i/>
        </w:rPr>
        <w:t>Xét đề nghị của Tổng Giám đốc Ngân hàng ANZ - Chi nhánh Hà Nội tại công văn đề ngày 22 tháng 12 năm 1995;</w:t>
      </w:r>
    </w:p>
    <w:p>
      <w:pPr>
        <w:jc w:val="both"/>
      </w:pPr>
      <w:r>
        <w:rPr>
          <w:b w:val="0"/>
          <w:i/>
        </w:rPr>
        <w:t>Theo đề nghị của Vụ trưởng Vụ Các Định chế Tài chính.</w:t>
      </w:r>
    </w:p>
    <w:p>
      <w:r>
        <w:rPr>
          <w:b/>
          <w:i w:val="0"/>
        </w:rPr>
        <w:t>QUYẾT ĐỊNH:</w:t>
      </w:r>
    </w:p>
    <w:p>
      <w:pPr>
        <w:jc w:val="both"/>
      </w:pPr>
      <w:r>
        <w:rPr>
          <w:b/>
          <w:i w:val="0"/>
        </w:rPr>
        <w:t xml:space="preserve">Điều 1. </w:t>
      </w:r>
      <w:r>
        <w:rPr>
          <w:b w:val="0"/>
          <w:i w:val="0"/>
        </w:rPr>
        <w:t>Chấp thuận việc Ngân hàng ANZ-Chi nhánh Hà Nội bổ nhiệm Công ty kiểm toán KPMG Peat Marwick làm kiểm toán cho Ngân hàng này.</w:t>
      </w:r>
    </w:p>
    <w:p>
      <w:pPr>
        <w:jc w:val="both"/>
      </w:pPr>
      <w:r>
        <w:rPr>
          <w:b/>
          <w:i w:val="0"/>
        </w:rPr>
        <w:t xml:space="preserve">Điều 2. </w:t>
      </w:r>
      <w:r>
        <w:rPr>
          <w:b w:val="0"/>
          <w:i w:val="0"/>
        </w:rPr>
        <w:t>Các báo cáo kế toán của Ngân hàng ANZ - Chi nhánh Hà Nội được Công ty KPMG Peat Marwick kiểm toán được coi là phù hợp với quy định hiện hành của Ngân hàng Nhà nước.</w:t>
      </w:r>
    </w:p>
    <w:p>
      <w:pPr>
        <w:jc w:val="both"/>
      </w:pPr>
      <w:r>
        <w:rPr>
          <w:b/>
          <w:i w:val="0"/>
        </w:rPr>
        <w:t xml:space="preserve">Điều 3. </w:t>
      </w:r>
      <w:r>
        <w:rPr>
          <w:b w:val="0"/>
          <w:i w:val="0"/>
        </w:rPr>
        <w:t>Quyết định này có hiệu lực từ ngày ký, Tổng Giám đốc Ngân hàng ANZ - Chi nhánh Hà Nội, Vụ trưởng Vụ Các định chế Tài chính và thủ trưởng các đơn vị trực thuộc Ngân hàng Nhà nước, Giám đốc Ngân hàng Nhà nước tỉnh, thành phố chịu trách nhiệm thi hành Quyết định này./.</w:t>
      </w:r>
      <w:r>
        <w:br/>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NGÂN HÀNG NHÀ NƯỚC</w:t>
            </w:r>
            <w:r>
              <w:rPr>
                <w:b w:val="0"/>
                <w:i w:val="0"/>
              </w:rPr>
              <w:br/>
            </w:r>
            <w:r>
              <w:rPr>
                <w:b/>
                <w:i w:val="0"/>
              </w:rPr>
              <w:t xml:space="preserve"> </w:t>
            </w:r>
            <w:r>
              <w:rPr>
                <w:b/>
                <w:i/>
              </w:rPr>
              <w:t>(Đã ký)</w:t>
            </w:r>
            <w:r>
              <w:rPr>
                <w:b w:val="0"/>
                <w:i w:val="0"/>
              </w:rPr>
              <w:br/>
            </w:r>
            <w:r>
              <w:rPr>
                <w:b w:val="0"/>
                <w:i w:val="0"/>
              </w:rPr>
              <w:br/>
            </w:r>
            <w:r>
              <w:rPr>
                <w:b/>
                <w:i/>
              </w:rPr>
              <w:t xml:space="preserve">   Đỗ Quế 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