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09/TT-LB Về chiết khấu lưu thông thuốc trừ sâu.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UỶ BAN VẬT GIÁ NHÀ NƯỚC</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i w:val="0"/>
        </w:rPr>
        <w:t>Về chiết khấu lưu thông thuốc trừ sâu.</w:t>
      </w:r>
    </w:p>
    <w:p>
      <w:r>
        <w:rPr>
          <w:b w:val="0"/>
          <w:i w:val="0"/>
        </w:rPr>
        <w:t>Thi hành Nghị quyết số</w:t>
      </w:r>
      <w:r>
        <w:rPr>
          <w:b w:val="0"/>
          <w:i w:val="0"/>
        </w:rPr>
        <w:t xml:space="preserve">  </w:t>
      </w:r>
      <w:r>
        <w:rPr>
          <w:b w:val="0"/>
          <w:i w:val="0"/>
        </w:rPr>
        <w:t>31/HDBT ngày 28-3-1986 của Hội đồng Bộ Trưởng , để tạo điều kiện cho ngành cung ứng thuốc trừ sâu phục vụ tốt sản xuất nông nghiệp; Theo đề nghị của Bộ Nông nghiệp (trong công văn số 1408/NN-CSGC ngày 20-11-1985) về mức chiết khấu lưu thông thuốc trừ sâu, sau khi nghiên cứu và trao đổi thống nhất với Bộ Nông nghiệp , liên Bộ Uỷ ban Vật giá Nhà nước – Bộ Tài chính tạm thời quy định mức chiết khấu lưu thông thuốc trừ sâu như sau:</w:t>
      </w:r>
    </w:p>
    <w:p>
      <w:r>
        <w:rPr>
          <w:b w:val="0"/>
          <w:i w:val="0"/>
        </w:rPr>
        <w:t>1/ Mức chiết khấu lưu thông toàn ngành: 1.550 đ/tấn</w:t>
      </w:r>
    </w:p>
    <w:p>
      <w:r>
        <w:rPr>
          <w:b w:val="0"/>
          <w:i w:val="0"/>
        </w:rPr>
        <w:t>Trong đó: - Chiết khấu cấp I746 đ/tấn</w:t>
      </w:r>
    </w:p>
    <w:p>
      <w:r>
        <w:rPr>
          <w:b w:val="0"/>
          <w:i w:val="0"/>
        </w:rPr>
        <w:t>- Chiết khấu cấp II+III b/q804 đ/ tấn</w:t>
      </w:r>
    </w:p>
    <w:p>
      <w:r>
        <w:rPr>
          <w:b w:val="0"/>
          <w:i w:val="0"/>
        </w:rPr>
        <w:t>a) Chiết khấu cấp I bao gồm toàn bộ chi phí cần thiết hợp lý để đưa thuốc trừ sâu từ nơi sản xuất hoặc các cảng(đối với thuốc trừ sâu thành phẩm nhập khẩu) đến các địa điểm giao hàng tại các địa phương cộng với lợi nhuận định mức đủ trích quỹ xí nghiệp cho các đơn vị cung ứng cấp I theo tinh thần Thông tư số 04/TT-LB ngày 03-04-1986 của Liên Bộ Uỷ ban Vật giá Nhà nước – Bộ Tài chính “hướng dẫn xác định chiết khấu lưu thông vật tư “</w:t>
      </w:r>
    </w:p>
    <w:p>
      <w:r>
        <w:rPr>
          <w:b w:val="0"/>
          <w:i w:val="0"/>
        </w:rPr>
        <w:t>Công ty cấp I có trách nhiệm giao hàng cho các địa phương tại các địa điểm đã được quy định. Trường hợp Công ty cấp I không đảm nhiệm vận chuyển thuốc trừ sâu về các địa phương, để các địa phương phải tự vận chuyển thì các Công ty cấp I phải trả cho các địa phương chi phí vận chuyển, hao hụt và các chi phí hợp lý khác.</w:t>
      </w:r>
    </w:p>
    <w:p>
      <w:r>
        <w:rPr>
          <w:b w:val="0"/>
          <w:i w:val="0"/>
        </w:rPr>
        <w:t>b) Chiết khấu lưu thông cấp II và III theo đề nghị của Bộ Nông nghiệp , Liên Bộ tạm thời quy định bình quân là 804đ/1tấn. Bộ Nông nghiệp căn cứ vào kế hoạch phân bổ thuốc trừ sâu và địa bàn các địa phương để quy định mức chiết khấu cụ thể cho từng địa phương, bảo đảm mức chiết khấu bình quân của cấp II và III nói trên.</w:t>
      </w:r>
    </w:p>
    <w:p>
      <w:r>
        <w:rPr>
          <w:b w:val="0"/>
          <w:i w:val="0"/>
        </w:rPr>
        <w:t>2/ Mức chiết khấu lưu thông thuốc trừ sâu nói ở điểm 1 trên đây thi hành từ ngày 01 tháng 01 năm 1986.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Hồ Tế</w:t>
            </w:r>
          </w:p>
        </w:tc>
        <w:tc>
          <w:tcPr>
            <w:tcW w:type="dxa" w:w="4320"/>
          </w:tcPr>
          <w:p>
            <w:r>
              <w:rPr>
                <w:b w:val="0"/>
                <w:i w:val="0"/>
              </w:rPr>
              <w:br/>
            </w:r>
            <w:r>
              <w:rPr>
                <w:b/>
                <w:i w:val="0"/>
              </w:rPr>
              <w:t>KT CHỦ NHIỆM UỶ BAN VẬT GIÁ NHÀ NƯỚC</w:t>
            </w:r>
            <w:r>
              <w:rPr>
                <w:b w:val="0"/>
                <w:i w:val="0"/>
              </w:rPr>
              <w:br/>
            </w:r>
            <w:r>
              <w:rPr>
                <w:b/>
                <w:i w:val="0"/>
              </w:rPr>
              <w:t>PHÓ CHỦ NHIỆM</w:t>
            </w:r>
            <w:r>
              <w:rPr>
                <w:b w:val="0"/>
                <w:i w:val="0"/>
              </w:rPr>
              <w:br/>
            </w:r>
            <w:r>
              <w:rPr>
                <w:b/>
                <w:i/>
              </w:rPr>
              <w:t>(Đã ký)</w:t>
            </w:r>
            <w:r>
              <w:rPr>
                <w:b w:val="0"/>
                <w:i w:val="0"/>
              </w:rPr>
              <w:br/>
            </w:r>
            <w:r>
              <w:rPr>
                <w:b/>
                <w:i w:val="0"/>
              </w:rPr>
              <w:t xml:space="preserve"> </w:t>
            </w:r>
            <w:r>
              <w:rPr>
                <w:b w:val="0"/>
                <w:i w:val="0"/>
              </w:rPr>
              <w:br/>
            </w:r>
            <w:r>
              <w:rPr>
                <w:b/>
                <w:i w:val="0"/>
              </w:rPr>
              <w:t>Nguyễn Tam</w:t>
            </w:r>
          </w:p>
        </w:tc>
      </w:tr>
    </w:tbl>
    <w:p>
      <w:r>
        <w:rPr>
          <w:b/>
          <w:i w:val="0"/>
        </w:rPr>
        <w:t>Nơi nhận:</w:t>
      </w:r>
    </w:p>
    <w:p>
      <w:r>
        <w:rPr>
          <w:b w:val="0"/>
          <w:i w:val="0"/>
        </w:rPr>
        <w:t>- Hội đồng Bộ Trưởng (để b/c)</w:t>
      </w:r>
    </w:p>
    <w:p>
      <w:r>
        <w:rPr>
          <w:b w:val="0"/>
          <w:i w:val="0"/>
        </w:rPr>
        <w:t xml:space="preserve">- Bộ Nông nghiệp </w:t>
      </w:r>
    </w:p>
    <w:p>
      <w:r>
        <w:rPr>
          <w:b w:val="0"/>
          <w:i w:val="0"/>
        </w:rPr>
        <w:t xml:space="preserve">- Uỷ ban Thanh tra Nhà nước </w:t>
      </w:r>
    </w:p>
    <w:p>
      <w:r>
        <w:rPr>
          <w:b w:val="0"/>
          <w:i w:val="0"/>
        </w:rPr>
        <w:t xml:space="preserve">- Trọng tài Kinh tế Nhà nước </w:t>
      </w:r>
    </w:p>
    <w:p>
      <w:r>
        <w:rPr>
          <w:b w:val="0"/>
          <w:i w:val="0"/>
        </w:rPr>
        <w:t>- Lưu:</w:t>
      </w:r>
    </w:p>
    <w:p>
      <w:r>
        <w:rPr>
          <w:b w:val="0"/>
          <w:i w:val="0"/>
        </w:rPr>
        <w:t xml:space="preserve">+ Bộ Tài chính </w:t>
      </w:r>
    </w:p>
    <w:p>
      <w:r>
        <w:rPr>
          <w:b w:val="0"/>
          <w:i w:val="0"/>
        </w:rPr>
        <w:t xml:space="preserve">+ Uỷ ban Vật giá Nhà nước </w:t>
      </w:r>
    </w:p>
    <w:p>
      <w:r>
        <w:rPr>
          <w:b w:val="0"/>
          <w:i w:val="0"/>
        </w:rPr>
        <w:t>- Vụ NS(2 bản)</w:t>
      </w:r>
    </w:p>
    <w:p>
      <w:r>
        <w:rPr>
          <w:b w:val="0"/>
          <w:i w:val="0"/>
        </w:rPr>
        <w:t>- Vụ KHCS</w:t>
      </w:r>
    </w:p>
    <w:p>
      <w:r>
        <w:rPr>
          <w:b w:val="0"/>
          <w:i w:val="0"/>
        </w:rPr>
        <w:t>- Ban Thanh tra giá</w:t>
      </w:r>
    </w:p>
    <w:p>
      <w:r>
        <w:rPr>
          <w:b w:val="0"/>
          <w:i w:val="0"/>
        </w:rPr>
        <w:t>- Vụ PPCĐ</w:t>
      </w:r>
    </w:p>
    <w:p>
      <w:r>
        <w:rPr>
          <w:b w:val="0"/>
          <w:i w:val="0"/>
        </w:rPr>
        <w:t xml:space="preserve">- VP </w:t>
      </w:r>
    </w:p>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