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100/2001/QĐ-UB Về việc điều chỉnh quy hoạch phân lô xây dựng khu dân cư đồi C5 - phường 4 - thành phố Đà Lạt</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100/2001/QĐ-UB</w:t>
      </w:r>
      <w:r>
        <w:rPr>
          <w:b w:val="0"/>
          <w:i w:val="0"/>
        </w:rPr>
        <w:br/>
      </w:r>
      <w:r>
        <w:rPr>
          <w:b w:val="0"/>
          <w:i w:val="0"/>
        </w:rPr>
        <w:t xml:space="preserve"> </w:t>
      </w:r>
      <w:r>
        <w:rPr>
          <w:b w:val="0"/>
          <w:i w:val="0"/>
        </w:rPr>
        <w:br/>
      </w:r>
      <w:r>
        <w:rPr>
          <w:b w:val="0"/>
          <w:i/>
        </w:rPr>
        <w:br/>
      </w:r>
      <w:r>
        <w:rPr>
          <w:b w:val="0"/>
          <w:i/>
        </w:rPr>
        <w:t>Lâm Đồng, ngày 22 tháng 10 năm 2001</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100/2001/QĐ-UB</w:t>
      </w:r>
      <w:r>
        <w:rPr>
          <w:b w:val="0"/>
          <w:i w:val="0"/>
        </w:rPr>
        <w:br/>
      </w:r>
      <w:r>
        <w:rPr>
          <w:b w:val="0"/>
          <w:i w:val="0"/>
        </w:rPr>
        <w:t xml:space="preserve"> </w:t>
      </w:r>
      <w:r>
        <w:rPr>
          <w:b w:val="0"/>
          <w:i w:val="0"/>
        </w:rPr>
        <w:br/>
      </w:r>
      <w:r>
        <w:rPr>
          <w:b w:val="0"/>
          <w:i/>
        </w:rPr>
        <w:br/>
      </w:r>
      <w:r>
        <w:rPr>
          <w:b w:val="0"/>
          <w:i/>
        </w:rPr>
        <w:t>Lâm Đồng, ngày 22 tháng 10 năm 2001</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100/2001/QĐ-UB</w:t>
      </w:r>
      <w:r>
        <w:rPr>
          <w:b w:val="0"/>
          <w:i w:val="0"/>
        </w:rPr>
        <w:br/>
      </w:r>
      <w:r>
        <w:rPr>
          <w:b w:val="0"/>
          <w:i w:val="0"/>
        </w:rPr>
        <w:t xml:space="preserve"> </w:t>
      </w:r>
      <w:r>
        <w:rPr>
          <w:b w:val="0"/>
          <w:i w:val="0"/>
        </w:rPr>
        <w:br/>
      </w:r>
      <w:r>
        <w:rPr>
          <w:b w:val="0"/>
          <w:i/>
        </w:rPr>
        <w:br/>
      </w:r>
      <w:r>
        <w:rPr>
          <w:b w:val="0"/>
          <w:i/>
        </w:rPr>
        <w:t>Lâm Đồng, ngày 22 tháng 10 năm 2001</w:t>
      </w:r>
      <w:r>
        <w:rPr>
          <w:b w:val="0"/>
          <w:i/>
        </w:rPr>
        <w:br/>
      </w:r>
      <w:r>
        <w:rPr>
          <w:b w:val="0"/>
          <w:i w:val="0"/>
        </w:rPr>
        <w:t xml:space="preserve"> </w:t>
      </w:r>
      <w:r>
        <w:rPr>
          <w:b w:val="0"/>
          <w:i w:val="0"/>
        </w:rPr>
        <w:br/>
      </w:r>
    </w:p>
    <w:p>
      <w:pPr>
        <w:jc w:val="center"/>
      </w:pPr>
      <w:r>
        <w:rPr>
          <w:b w:val="0"/>
          <w:i w:val="0"/>
        </w:rPr>
        <w:br/>
      </w:r>
      <w:r>
        <w:rPr>
          <w:b w:val="0"/>
          <w:i w:val="0"/>
        </w:rPr>
        <w:t>Số: 100/2001/QĐ-UB</w:t>
      </w:r>
      <w:r>
        <w:rPr>
          <w:b w:val="0"/>
          <w:i w:val="0"/>
        </w:rPr>
        <w:br/>
      </w:r>
    </w:p>
    <w:p>
      <w:pPr>
        <w:jc w:val="center"/>
      </w:pPr>
      <w:r>
        <w:rPr>
          <w:b w:val="0"/>
          <w:i w:val="0"/>
        </w:rPr>
        <w:br/>
      </w:r>
      <w:r>
        <w:rPr>
          <w:b w:val="0"/>
          <w:i w:val="0"/>
        </w:rPr>
        <w:t>Lâm Đồng, ngày 22 tháng 10 năm 2001</w:t>
      </w:r>
      <w:r>
        <w:rPr>
          <w:b w:val="0"/>
          <w:i w:val="0"/>
        </w:rPr>
        <w:br/>
      </w:r>
    </w:p>
    <w:p>
      <w:r>
        <w:rPr>
          <w:b/>
          <w:i w:val="0"/>
        </w:rPr>
        <w:t>QUYẾT ĐỊNH CỦA UBND TỈNH LÂM ĐỒNG</w:t>
      </w:r>
      <w:r>
        <w:br/>
      </w:r>
      <w:r>
        <w:rPr>
          <w:b/>
          <w:i w:val="0"/>
        </w:rPr>
        <w:t xml:space="preserve">Về việc điều chỉnh quy hoạch phân lô xây dựng </w:t>
      </w:r>
      <w:r>
        <w:br/>
      </w:r>
      <w:r>
        <w:rPr>
          <w:b/>
          <w:i w:val="0"/>
        </w:rPr>
        <w:t>khu dân cư đồi C5 - phường 4 - thành phố Đà Lạt</w:t>
      </w:r>
      <w:r>
        <w:rPr>
          <w:b/>
          <w:i w:val="0"/>
        </w:rPr>
        <w:t xml:space="preserve"> </w:t>
      </w:r>
    </w:p>
    <w:p>
      <w:r>
        <w:rPr>
          <w:b/>
          <w:i w:val="0"/>
        </w:rPr>
        <w:t>ỦY BAN NHÂN DÂN TỈNH LÂM ĐỒNG</w:t>
      </w:r>
    </w:p>
    <w:p>
      <w:r>
        <w:rPr>
          <w:b w:val="0"/>
          <w:i/>
        </w:rPr>
        <w:t>Căn cứ Luật Tổ chức Hội đồng Nhân dân và Ủy ban Nhân dân (sửa đổi) ngày 21/6/1994;</w:t>
      </w:r>
    </w:p>
    <w:p>
      <w:r>
        <w:rPr>
          <w:b w:val="0"/>
          <w:i/>
        </w:rPr>
        <w:t>Căn cứ Luật Đất đai ngày 14/7/1993; Luật sửa đổi, bổ sung một số điều của Luật Đất đai ngày 02/12/1998 và Luật sửa đổi, bổ sung một số điều của Luật Đất đai ngày 29/6/2001;</w:t>
      </w:r>
    </w:p>
    <w:p>
      <w:r>
        <w:rPr>
          <w:b w:val="0"/>
          <w:i/>
        </w:rPr>
        <w:t>Căn cứ Nghị định số 91/CP ngày 17/08/1994 của Chính phủ về việc ban hành Điều lệ quản lý quy hoạch đô thị;</w:t>
      </w:r>
    </w:p>
    <w:p>
      <w:r>
        <w:rPr>
          <w:b w:val="0"/>
          <w:i/>
        </w:rPr>
        <w:t>Theo đề nghị của Giám đốc Sở Xây dựng tại tờ trình số 1119/XD-QHXD ngày 09/10/2001 về việc phê duyệt điều chỉnh quy hoạch khu dân cư đồi C5 - phường 4 - thành phố Đà Lạt,</w:t>
      </w:r>
      <w:r>
        <w:rPr>
          <w:b/>
          <w:i/>
        </w:rPr>
        <w:t xml:space="preserve"> </w:t>
      </w:r>
    </w:p>
    <w:p>
      <w:r>
        <w:rPr>
          <w:b/>
          <w:i w:val="0"/>
        </w:rPr>
        <w:t>QUYẾT ĐỊNH:</w:t>
      </w:r>
    </w:p>
    <w:p>
      <w:r>
        <w:rPr>
          <w:b/>
          <w:i w:val="0"/>
        </w:rPr>
        <w:t xml:space="preserve">Điều 1. </w:t>
      </w:r>
      <w:r>
        <w:rPr>
          <w:b w:val="0"/>
          <w:i w:val="0"/>
        </w:rPr>
        <w:t>Điều chỉnh quy hoạch phân lô xây dựng khu dân cư đồi C5 - phường 4 - thành phố Đà Lạt (đã được Ủy ban Nhân dân tỉnh Lâm Đồng phê duyệt tại Quyết định số 69/QĐ-UB ngày 13/01/1997) với một số nội dung cụ thể như sau:</w:t>
      </w:r>
    </w:p>
    <w:p>
      <w:r>
        <w:rPr>
          <w:b w:val="0"/>
          <w:i w:val="0"/>
        </w:rPr>
        <w:t>1.1 Diện tích đất quy hoạch: 41.628m2.</w:t>
      </w:r>
    </w:p>
    <w:p>
      <w:r>
        <w:rPr>
          <w:b w:val="0"/>
          <w:i w:val="0"/>
        </w:rPr>
        <w:t>1.2 Một số nội dung điều chỉnh:</w:t>
      </w:r>
    </w:p>
    <w:p>
      <w:pPr>
        <w:jc w:val="both"/>
      </w:pPr>
      <w:r>
        <w:rPr>
          <w:b/>
          <w:i w:val="0"/>
        </w:rPr>
        <w:t>1/ Quy hoạch sử dụng đất và không gian kiến trúc</w:t>
      </w:r>
      <w:r>
        <w:rPr>
          <w:b w:val="0"/>
          <w:i w:val="0"/>
        </w:rPr>
        <w:t>:</w:t>
      </w:r>
    </w:p>
    <w:p>
      <w:pPr>
        <w:jc w:val="both"/>
      </w:pPr>
      <w:r>
        <w:rPr>
          <w:b/>
          <w:i w:val="0"/>
        </w:rPr>
        <w:t>a/</w:t>
      </w:r>
      <w:r>
        <w:rPr>
          <w:b w:val="0"/>
          <w:i w:val="0"/>
        </w:rPr>
        <w:t xml:space="preserve"> Đất ở: Chiếm 14.144m</w:t>
      </w:r>
      <w:r>
        <w:rPr>
          <w:b w:val="0"/>
          <w:i w:val="0"/>
        </w:rPr>
        <w:t>2</w:t>
      </w:r>
      <w:r>
        <w:rPr>
          <w:b w:val="0"/>
          <w:i w:val="0"/>
        </w:rPr>
        <w:t xml:space="preserve"> (34%), bao gồm 3 loại công trình sau:</w:t>
      </w:r>
    </w:p>
    <w:p>
      <w:pPr>
        <w:jc w:val="both"/>
      </w:pPr>
      <w:r>
        <w:rPr>
          <w:b w:val="0"/>
          <w:i w:val="0"/>
        </w:rPr>
        <w:t>Đất xây dựng nhà chung cư: 07 lô (ký hiệu từ G1 đến G7);</w:t>
      </w:r>
    </w:p>
    <w:p>
      <w:pPr>
        <w:jc w:val="both"/>
      </w:pPr>
      <w:r>
        <w:rPr>
          <w:b w:val="0"/>
          <w:i w:val="0"/>
        </w:rPr>
        <w:t>Đất xây dựng nhà biệt lập: 05 lô (ký hiệu từ D1 đến D5);</w:t>
      </w:r>
    </w:p>
    <w:p>
      <w:pPr>
        <w:jc w:val="both"/>
      </w:pPr>
      <w:r>
        <w:rPr>
          <w:b w:val="0"/>
          <w:i w:val="0"/>
        </w:rPr>
        <w:t>Đất xây dựng nhà liên kế phố: 71 lô (ký hiệu từ A1 đến A28, B1 đến B25 và C1 đến C18).</w:t>
      </w:r>
    </w:p>
    <w:p>
      <w:pPr>
        <w:jc w:val="both"/>
      </w:pPr>
      <w:r>
        <w:rPr>
          <w:b w:val="0"/>
          <w:i w:val="0"/>
        </w:rPr>
        <w:t>Diện tích và kích thước cụ thể của các lô đất như bản vẽ đính kèm.</w:t>
      </w:r>
    </w:p>
    <w:p>
      <w:pPr>
        <w:jc w:val="both"/>
      </w:pPr>
      <w:r>
        <w:rPr>
          <w:b/>
          <w:i w:val="0"/>
        </w:rPr>
        <w:t>b/</w:t>
      </w:r>
      <w:r>
        <w:rPr>
          <w:b w:val="0"/>
          <w:i w:val="0"/>
        </w:rPr>
        <w:t xml:space="preserve"> Đất công trình công cộng: Chiếm 2.560m</w:t>
      </w:r>
      <w:r>
        <w:rPr>
          <w:b w:val="0"/>
          <w:i w:val="0"/>
        </w:rPr>
        <w:t>2</w:t>
      </w:r>
      <w:r>
        <w:rPr>
          <w:b w:val="0"/>
          <w:i w:val="0"/>
        </w:rPr>
        <w:t xml:space="preserve"> (06%) gồm đất xây dựng chợ, đất xây dựng trường mầm non và đất xây dựng hội trường khu phố.</w:t>
      </w:r>
    </w:p>
    <w:p>
      <w:pPr>
        <w:jc w:val="both"/>
      </w:pPr>
      <w:r>
        <w:rPr>
          <w:b/>
          <w:i w:val="0"/>
        </w:rPr>
        <w:t>c/</w:t>
      </w:r>
      <w:r>
        <w:rPr>
          <w:b w:val="0"/>
          <w:i w:val="0"/>
        </w:rPr>
        <w:t xml:space="preserve"> Đất công viên cây xanh: Chiếm 12.914m</w:t>
      </w:r>
      <w:r>
        <w:rPr>
          <w:b w:val="0"/>
          <w:i w:val="0"/>
        </w:rPr>
        <w:t>2</w:t>
      </w:r>
      <w:r>
        <w:rPr>
          <w:b w:val="0"/>
          <w:i w:val="0"/>
        </w:rPr>
        <w:t xml:space="preserve"> (31%).</w:t>
      </w:r>
    </w:p>
    <w:p>
      <w:pPr>
        <w:jc w:val="both"/>
      </w:pPr>
      <w:r>
        <w:rPr>
          <w:b/>
          <w:i w:val="0"/>
        </w:rPr>
        <w:t>d/</w:t>
      </w:r>
      <w:r>
        <w:rPr>
          <w:b w:val="0"/>
          <w:i w:val="0"/>
        </w:rPr>
        <w:t xml:space="preserve"> Đất giao thông + hạ tầng kỹ thuật: Chiếm 11.980m</w:t>
      </w:r>
      <w:r>
        <w:rPr>
          <w:b w:val="0"/>
          <w:i w:val="0"/>
        </w:rPr>
        <w:t>2</w:t>
      </w:r>
      <w:r>
        <w:rPr>
          <w:b w:val="0"/>
          <w:i w:val="0"/>
        </w:rPr>
        <w:t xml:space="preserve"> (29%).</w:t>
      </w:r>
    </w:p>
    <w:p>
      <w:r>
        <w:rPr>
          <w:b/>
          <w:i w:val="0"/>
        </w:rPr>
        <w:t>2/ Giao thông</w:t>
      </w:r>
      <w:r>
        <w:rPr>
          <w:b w:val="0"/>
          <w:i w:val="0"/>
        </w:rPr>
        <w:t>: Giữ nguyên hệ thống đường giao thông hiện có (đã đầu tư trước đây) với một loại đường có lộ giới rộng 16 mét và một loại đường có lộ giới rộng 10 mét. Phát triển thêm một số đoạn đường giao thông nội bộ có lòng đường rộng 3,5 mét và lề đường mỗi bên rộng 2 mét.</w:t>
      </w:r>
    </w:p>
    <w:p>
      <w:pPr>
        <w:jc w:val="both"/>
      </w:pPr>
      <w:r>
        <w:rPr>
          <w:b/>
          <w:i w:val="0"/>
        </w:rPr>
        <w:t>3/ Cấp, thoát nước</w:t>
      </w:r>
      <w:r>
        <w:rPr>
          <w:b w:val="0"/>
          <w:i w:val="0"/>
        </w:rPr>
        <w:t>:</w:t>
      </w:r>
    </w:p>
    <w:p>
      <w:pPr>
        <w:jc w:val="both"/>
      </w:pPr>
      <w:r>
        <w:rPr>
          <w:b w:val="0"/>
          <w:i w:val="0"/>
        </w:rPr>
        <w:t>Cấp nước: Sử dụng hệ thống cấp nước của thành phố Đà Lạt.</w:t>
      </w:r>
    </w:p>
    <w:p>
      <w:pPr>
        <w:jc w:val="both"/>
      </w:pPr>
      <w:r>
        <w:rPr>
          <w:b w:val="0"/>
          <w:i w:val="0"/>
        </w:rPr>
        <w:t>Thoát nước: Nước mặt thoát theo địa hình vào hệ thống mương cống chung của khu vực. Nước thải sinh hoạt được xử lý qua bể tự hoại trước khi thoát ra mương cống chung của khu vực, đảm bảo vệ sinh môi trường theo quy định.</w:t>
      </w:r>
    </w:p>
    <w:p>
      <w:pPr>
        <w:jc w:val="both"/>
      </w:pPr>
      <w:r>
        <w:rPr>
          <w:b/>
          <w:i w:val="0"/>
        </w:rPr>
        <w:t>4/ Cấp điện</w:t>
      </w:r>
      <w:r>
        <w:rPr>
          <w:b w:val="0"/>
          <w:i w:val="0"/>
        </w:rPr>
        <w:t>: Sử dụng hệ thống điện của thành phố Đà Lạt.</w:t>
      </w:r>
    </w:p>
    <w:p>
      <w:pPr>
        <w:jc w:val="both"/>
      </w:pPr>
      <w:r>
        <w:rPr>
          <w:b/>
          <w:i w:val="0"/>
        </w:rPr>
        <w:t>5/ Một số chỉ tiêu về quản lý xây dựng đối với công trình nhà ở:</w:t>
      </w:r>
    </w:p>
    <w:p>
      <w:pPr>
        <w:jc w:val="both"/>
      </w:pPr>
      <w:r>
        <w:rPr>
          <w:b/>
          <w:i w:val="0"/>
        </w:rPr>
        <w:t>a/</w:t>
      </w:r>
      <w:r>
        <w:rPr>
          <w:b w:val="0"/>
          <w:i w:val="0"/>
        </w:rPr>
        <w:t xml:space="preserve"> Mật độ xây dựng:</w:t>
      </w:r>
    </w:p>
    <w:p>
      <w:pPr>
        <w:jc w:val="both"/>
      </w:pPr>
      <w:r>
        <w:rPr>
          <w:b w:val="0"/>
          <w:i w:val="0"/>
        </w:rPr>
        <w:t>Đối với nhà biệt lập và chung cư: Ê 50%;</w:t>
      </w:r>
    </w:p>
    <w:p>
      <w:pPr>
        <w:jc w:val="both"/>
      </w:pPr>
      <w:r>
        <w:rPr>
          <w:b w:val="0"/>
          <w:i w:val="0"/>
        </w:rPr>
        <w:t>Đối với nhà liên kế phố: Ê 100%.</w:t>
      </w:r>
    </w:p>
    <w:p>
      <w:pPr>
        <w:jc w:val="both"/>
      </w:pPr>
      <w:r>
        <w:rPr>
          <w:b/>
          <w:i w:val="0"/>
        </w:rPr>
        <w:t>b/</w:t>
      </w:r>
      <w:r>
        <w:rPr>
          <w:b w:val="0"/>
          <w:i w:val="0"/>
        </w:rPr>
        <w:t xml:space="preserve"> Tầng cao:</w:t>
      </w:r>
    </w:p>
    <w:p>
      <w:pPr>
        <w:jc w:val="both"/>
      </w:pPr>
      <w:r>
        <w:rPr>
          <w:b w:val="0"/>
          <w:i w:val="0"/>
        </w:rPr>
        <w:t>Nhà chung cư: Ê 4 tầng (bao gồm cả tầng hầm);</w:t>
      </w:r>
    </w:p>
    <w:p>
      <w:pPr>
        <w:jc w:val="both"/>
      </w:pPr>
      <w:r>
        <w:rPr>
          <w:b w:val="0"/>
          <w:i w:val="0"/>
        </w:rPr>
        <w:t>Nhà biệt lập: Ê 2 tầng;</w:t>
      </w:r>
    </w:p>
    <w:p>
      <w:pPr>
        <w:jc w:val="both"/>
      </w:pPr>
      <w:r>
        <w:rPr>
          <w:b w:val="0"/>
          <w:i w:val="0"/>
        </w:rPr>
        <w:t>Nhà liên kế phố: Ê 3 tầng.</w:t>
      </w:r>
    </w:p>
    <w:p>
      <w:pPr>
        <w:jc w:val="both"/>
      </w:pPr>
      <w:r>
        <w:rPr>
          <w:b/>
          <w:i w:val="0"/>
        </w:rPr>
        <w:t>c/</w:t>
      </w:r>
      <w:r>
        <w:rPr>
          <w:b w:val="0"/>
          <w:i w:val="0"/>
        </w:rPr>
        <w:t xml:space="preserve"> Khoảng lùi:</w:t>
      </w:r>
    </w:p>
    <w:p>
      <w:pPr>
        <w:jc w:val="both"/>
      </w:pPr>
      <w:r>
        <w:rPr>
          <w:b w:val="0"/>
          <w:i w:val="0"/>
        </w:rPr>
        <w:t>Đối với nhà liên kế phố: ³ 0 mét (chỉ giới xây dựng trùng với lộ giới);</w:t>
      </w:r>
    </w:p>
    <w:p>
      <w:pPr>
        <w:jc w:val="both"/>
      </w:pPr>
      <w:r>
        <w:rPr>
          <w:b w:val="0"/>
          <w:i w:val="0"/>
        </w:rPr>
        <w:t>Đối với nhà biệt lập, chung cư: Theo Quy chuẩn Xây dựng Việt Nam.</w:t>
      </w:r>
    </w:p>
    <w:p>
      <w:pPr>
        <w:jc w:val="both"/>
      </w:pPr>
      <w:r>
        <w:rPr>
          <w:b/>
          <w:i w:val="0"/>
        </w:rPr>
        <w:t>d/</w:t>
      </w:r>
      <w:r>
        <w:rPr>
          <w:b w:val="0"/>
          <w:i w:val="0"/>
        </w:rPr>
        <w:t xml:space="preserve"> Mái của tất cả các loại công trình trong khu vực quy hoạch phải lợp ngói hoặc tôn mạ màu. Ngoài ra, các công trình xây dựng phải đảm bảo phù hợp với Quy chuẩn Xây dựng Việt Nam.</w:t>
      </w:r>
    </w:p>
    <w:p>
      <w:pPr>
        <w:jc w:val="both"/>
      </w:pPr>
      <w:r>
        <w:rPr>
          <w:b w:val="0"/>
          <w:i w:val="0"/>
        </w:rPr>
        <w:t>(Đính kèm bản vẽ điều chỉnh quy hoạch do Xí nghiệp tư vấn Xây dựng Công ty Kinh doanh và Phát triển nhà Lâm Đồng lập tháng 9/2001 với tỷ lệ 1/500 thay thế bản vẽ quy hoạch được duyệt kèm theo Quyết định số 69/QĐ-UB ngày 13/01/1997 của Ủy ban Nhân dân tỉnh Lâm Đồng).</w:t>
      </w:r>
    </w:p>
    <w:p>
      <w:pPr>
        <w:jc w:val="both"/>
      </w:pPr>
      <w:r>
        <w:rPr>
          <w:b w:val="0"/>
          <w:i w:val="0"/>
        </w:rPr>
        <w:t>Các nội dung khác, giữ nguyên theo Quyết định số 69/QĐ-UB ngày 13/01/1997 của Ủy ban Nhân dân tỉnh Lâm Đồng.</w:t>
      </w:r>
    </w:p>
    <w:p>
      <w:r>
        <w:rPr>
          <w:b/>
          <w:i w:val="0"/>
        </w:rPr>
        <w:t>Điều 2</w:t>
      </w:r>
    </w:p>
    <w:p>
      <w:pPr>
        <w:jc w:val="both"/>
      </w:pPr>
      <w:r>
        <w:rPr>
          <w:b/>
          <w:i w:val="0"/>
        </w:rPr>
        <w:t>2.1</w:t>
      </w:r>
      <w:r>
        <w:rPr>
          <w:b w:val="0"/>
          <w:i w:val="0"/>
        </w:rPr>
        <w:t xml:space="preserve"> Giao Ủy ban Nhân dân thành phố Đà Lạt công bố công khai đồ án điều chỉnh quy hoạch được duyệt bằng nhiều hình thức cho các tổ chức, đơn vị, cá nhân biết để thực hiện; đồng thời, chịu trách nhiệm quản lý việc xây dựng công trình theo đúng quy hoạch được duyệt và các quy định hiện hành của Nhà nước.</w:t>
      </w:r>
    </w:p>
    <w:p>
      <w:pPr>
        <w:jc w:val="both"/>
      </w:pPr>
      <w:r>
        <w:rPr>
          <w:b/>
          <w:i w:val="0"/>
        </w:rPr>
        <w:t>2.2</w:t>
      </w:r>
      <w:r>
        <w:rPr>
          <w:b w:val="0"/>
          <w:i w:val="0"/>
        </w:rPr>
        <w:t xml:space="preserve"> Giao Ban Quản lý dự án Đầu tư và xây dựng Sở Xây dựng chịu trách nhiệm tổ chức lập hồ sơ chuẩn bị đầu tư xây dựng cơ sở hạ tầng (tiếp tục hoàn chỉnh hồ sơ thiết kế sơ bộ hệ thống giao thông, cấp thoát nước, hệ thống điện) khu vực quy hoạch trình cấp có thẩm quyền thẩm định, phê duyệt để làm cơ sở cho việc triển khai công tác đền bù, giải tỏa, thu hồi đất, giao đất và thực hiện đầu tư.</w:t>
      </w:r>
    </w:p>
    <w:p>
      <w:pPr>
        <w:jc w:val="both"/>
      </w:pPr>
      <w:r>
        <w:rPr>
          <w:b/>
          <w:i w:val="0"/>
        </w:rPr>
        <w:t>2.3</w:t>
      </w:r>
      <w:r>
        <w:rPr>
          <w:b w:val="0"/>
          <w:i w:val="0"/>
        </w:rPr>
        <w:t xml:space="preserve"> Giao Sở Xây dựng, Sở Địa chính, Sở Giao thông Vận tải, Ủy ban Nhân dân thành phố Đà Lạt và các ngành có liên quan với chức năng, nhiệm vụ được giao chịu trách nhiệm hướng dẫn, phối hợp và theo dõi việc thực hiện.</w:t>
      </w:r>
    </w:p>
    <w:p>
      <w:pPr>
        <w:jc w:val="both"/>
      </w:pPr>
      <w:r>
        <w:rPr>
          <w:b/>
          <w:i w:val="0"/>
        </w:rPr>
        <w:t>Điều 3.</w:t>
      </w:r>
      <w:r>
        <w:rPr>
          <w:b/>
          <w:i w:val="0"/>
        </w:rPr>
        <w:t xml:space="preserve"> </w:t>
      </w:r>
      <w:r>
        <w:rPr>
          <w:b w:val="0"/>
          <w:i w:val="0"/>
        </w:rPr>
        <w:t>Chánh Văn phòng Hội đồng Nhân dân và Ủy ban Nhân dân Tỉnh, Giám đốc các Sở: Xây dựng; Địa chính; Giao thông vận tải; Kế hoạch và đầu tư; Tài chính vật giá, Chủ tịch Ủy ban Nhân dân thành phố Đà Lạt, Giám đốc Ban Quản lý dự án Đầu tư và xây dựng Sở Xây dựng, Thủ trưởng các ngành, đơn vị và cá nhân có liên quan căn cứ Quyết định thi hành kể từ ngày ký./.</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TM. UBND TỈNH LÂM ĐỒNG</w:t>
      </w:r>
      <w:r>
        <w:rPr>
          <w:b/>
          <w:i w:val="0"/>
        </w:rPr>
        <w:t xml:space="preserve"> </w:t>
      </w:r>
      <w:r>
        <w:rPr>
          <w:b/>
          <w:i w:val="0"/>
        </w:rPr>
        <w:br/>
      </w:r>
      <w:r>
        <w:br/>
      </w:r>
      <w:r>
        <w:rPr>
          <w:b/>
          <w:i w:val="0"/>
        </w:rPr>
        <w:t>CHỦ TỊCH</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Phan Thiên</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TM. UBND TỈNH LÂM ĐỒNG</w:t>
      </w:r>
      <w:r>
        <w:rPr>
          <w:b/>
          <w:i w:val="0"/>
        </w:rPr>
        <w:t xml:space="preserve"> </w:t>
      </w:r>
      <w:r>
        <w:rPr>
          <w:b/>
          <w:i w:val="0"/>
        </w:rPr>
        <w:br/>
      </w:r>
      <w:r>
        <w:br/>
      </w:r>
      <w:r>
        <w:rPr>
          <w:b/>
          <w:i w:val="0"/>
        </w:rPr>
        <w:t>CHỦ TỊCH</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Phan Thiên</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TM. UBND TỈNH LÂM ĐỒNG</w:t>
      </w:r>
      <w:r>
        <w:rPr>
          <w:b/>
          <w:i w:val="0"/>
        </w:rPr>
        <w:t xml:space="preserve"> </w:t>
      </w:r>
      <w:r>
        <w:rPr>
          <w:b/>
          <w:i w:val="0"/>
        </w:rPr>
        <w:br/>
      </w:r>
      <w:r>
        <w:br/>
      </w:r>
      <w:r>
        <w:rPr>
          <w:b/>
          <w:i w:val="0"/>
        </w:rPr>
        <w:t>CHỦ TỊCH</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Phan Thiên</w:t>
      </w:r>
      <w:r>
        <w:rPr>
          <w:b/>
          <w:i w:val="0"/>
        </w:rPr>
        <w:br/>
      </w:r>
      <w:r>
        <w:rPr>
          <w:b w:val="0"/>
          <w:i w:val="0"/>
        </w:rPr>
        <w:t xml:space="preserve"> </w:t>
      </w:r>
      <w:r>
        <w:rPr>
          <w:b w:val="0"/>
          <w:i w:val="0"/>
        </w:rPr>
        <w:br/>
      </w:r>
    </w:p>
    <w:p>
      <w:r>
        <w:rPr>
          <w:b w:val="0"/>
          <w:i w:val="0"/>
        </w:rPr>
        <w:br/>
      </w:r>
      <w:r>
        <w:rPr>
          <w:b/>
          <w:i w:val="0"/>
        </w:rPr>
        <w:t>TM. UBND TỈNH LÂM ĐỒNG</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