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100/2004/QĐ-BCN Về việc chuyển Nhà máy Nhựa Tân Phú thuộc Công ty Nhựa Việt Nam thành Công ty cổ phần Nhựa Tân Phú</w:t>
      </w:r>
    </w:p>
    <w:p>
      <w:r>
        <w:rPr>
          <w:b w:val="0"/>
          <w:i w:val="0"/>
        </w:rPr>
        <w:br/>
      </w:r>
      <w:r>
        <w:rPr>
          <w:b w:val="0"/>
          <w:i w:val="0"/>
        </w:rPr>
        <w:br/>
      </w:r>
      <w:r>
        <w:rPr>
          <w:b w:val="0"/>
          <w:i w:val="0"/>
        </w:rPr>
        <w:br/>
      </w:r>
      <w:r>
        <w:rPr>
          <w:b w:val="0"/>
          <w:i w:val="0"/>
        </w:rPr>
        <w:br/>
      </w:r>
      <w:r>
        <w:rPr>
          <w:b w:val="0"/>
          <w:i w:val="0"/>
        </w:rPr>
        <w:br/>
      </w:r>
      <w:r>
        <w:rPr>
          <w:b/>
          <w:i w:val="0"/>
        </w:rPr>
        <w:t>BỘ CÔNG NGHIỆP</w:t>
      </w:r>
      <w:r>
        <w:br/>
      </w:r>
      <w:r>
        <w:rPr>
          <w:b w:val="0"/>
          <w:i w:val="0"/>
        </w:rPr>
        <w:t>******</w:t>
      </w:r>
      <w:r>
        <w:rPr>
          <w:b w:val="0"/>
          <w:i w:val="0"/>
        </w:rPr>
        <w:br/>
      </w:r>
      <w:r>
        <w:rPr>
          <w:b w:val="0"/>
          <w:i w:val="0"/>
        </w:rPr>
        <w:br/>
      </w:r>
      <w:r>
        <w:rPr>
          <w:b/>
          <w:i w:val="0"/>
        </w:rPr>
        <w:t>CỘNG HOÀ XÃ HỘI CHỦ NGHĨA VIỆT NAM</w:t>
      </w:r>
      <w:r>
        <w:br/>
      </w:r>
      <w:r>
        <w:rPr>
          <w:b/>
          <w:i w:val="0"/>
        </w:rPr>
        <w:br/>
        <w:t xml:space="preserve">          Độc lập - Tự do - Hạnh phúc</w:t>
      </w:r>
      <w:r>
        <w:br/>
      </w:r>
      <w:r>
        <w:rPr>
          <w:b w:val="0"/>
          <w:i w:val="0"/>
        </w:rPr>
        <w:t>********</w:t>
      </w:r>
      <w:r>
        <w:rPr>
          <w:b w:val="0"/>
          <w:i w:val="0"/>
        </w:rPr>
        <w:br/>
      </w:r>
      <w:r>
        <w:rPr>
          <w:b w:val="0"/>
          <w:i w:val="0"/>
        </w:rPr>
        <w:br/>
      </w:r>
      <w:r>
        <w:rPr>
          <w:b w:val="0"/>
          <w:i w:val="0"/>
        </w:rPr>
        <w:br/>
      </w:r>
      <w:r>
        <w:rPr>
          <w:b w:val="0"/>
          <w:i w:val="0"/>
        </w:rPr>
        <w:br/>
      </w:r>
      <w:r>
        <w:rPr>
          <w:b w:val="0"/>
          <w:i w:val="0"/>
        </w:rPr>
        <w:t>Số: 100/2004/QĐ-BCN</w:t>
      </w:r>
      <w:r>
        <w:rPr>
          <w:b w:val="0"/>
          <w:i w:val="0"/>
        </w:rPr>
        <w:br/>
      </w:r>
      <w:r>
        <w:rPr>
          <w:b w:val="0"/>
          <w:i w:val="0"/>
        </w:rPr>
        <w:br/>
      </w:r>
      <w:r>
        <w:rPr>
          <w:b w:val="0"/>
          <w:i/>
        </w:rPr>
        <w:t xml:space="preserve">Hà Nội, ngày 24 tháng 09 năm 2004 </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 xml:space="preserve">QUYẾT ĐỊNH </w:t>
      </w:r>
      <w:r>
        <w:rPr>
          <w:b w:val="0"/>
          <w:i w:val="0"/>
        </w:rPr>
        <w:br/>
      </w:r>
      <w:r>
        <w:rPr>
          <w:b/>
          <w:i w:val="0"/>
        </w:rPr>
        <w:t>Về việc chuyển Nhà máy Nhựa Tân Phú thuộc Công ty Nhựa Việt Nam thành Công ty cổ phần Nhựa Tân Phú</w:t>
      </w:r>
      <w:r>
        <w:rPr>
          <w:b w:val="0"/>
          <w:i w:val="0"/>
        </w:rPr>
        <w:br/>
      </w:r>
      <w:r>
        <w:rPr>
          <w:b/>
          <w:i w:val="0"/>
        </w:rPr>
        <w:t>BỘ TRƯỞNG BỘ CÔNG NGHIỆP</w:t>
      </w:r>
      <w:r>
        <w:rPr>
          <w:b w:val="0"/>
          <w:i w:val="0"/>
        </w:rPr>
        <w:br/>
      </w:r>
      <w:r>
        <w:rPr>
          <w:b w:val="0"/>
          <w:i/>
        </w:rPr>
        <w:t>Căn cứ Nghị định số 55/2003/NĐ-CP ngày 28 tháng 5 năm 2003 của Chính phủ quy định chức năng, nhiệm vụ, quyền hạn và cơ cấu tổ chức của Bộ Công nghiệp;</w:t>
      </w:r>
      <w:r>
        <w:rPr>
          <w:b w:val="0"/>
          <w:i w:val="0"/>
        </w:rPr>
        <w:br/>
      </w:r>
      <w:r>
        <w:rPr>
          <w:b w:val="0"/>
          <w:i/>
        </w:rPr>
        <w:t>Căn cứ Nghị định số 64/2002/NĐ-CP ngày 19 tháng 6 năm 2002 của Chính phủ về việc chuyển doanh nghiệp nhà nước thành công ty cổ phần;</w:t>
      </w:r>
      <w:r>
        <w:rPr>
          <w:b w:val="0"/>
          <w:i w:val="0"/>
        </w:rPr>
        <w:br/>
      </w:r>
      <w:r>
        <w:rPr>
          <w:b w:val="0"/>
          <w:i/>
        </w:rPr>
        <w:t>Xét đề nghị của Công ty Nhựa Việt Nam (Công văn số 598/CV-NVN-VP ngày 25 tháng 8 năm 2004), Phương án cổ phần hoá Nhà máy Nhựa Tân Phú và Biên bản thẩm định Phương án của Ban Đổi mới và Phát triển doanh nghiệp Bộ ngày 16 tháng 9 năm 2004;</w:t>
      </w:r>
      <w:r>
        <w:rPr>
          <w:b w:val="0"/>
          <w:i w:val="0"/>
        </w:rPr>
        <w:br/>
      </w:r>
      <w:r>
        <w:rPr>
          <w:b w:val="0"/>
          <w:i/>
        </w:rPr>
        <w:t xml:space="preserve">Theo đề nghị của Ban Đổi mới và Phát triển doanh nghiệp và Vụ trưởng Vụ Tổ chức - Cán bộ, </w:t>
      </w:r>
      <w:r>
        <w:rPr>
          <w:b w:val="0"/>
          <w:i w:val="0"/>
        </w:rPr>
        <w:br/>
      </w:r>
      <w:r>
        <w:rPr>
          <w:b/>
          <w:i w:val="0"/>
        </w:rPr>
        <w:t>QUYẾT ĐỊNH:</w:t>
      </w:r>
      <w:r>
        <w:rPr>
          <w:b w:val="0"/>
          <w:i w:val="0"/>
        </w:rPr>
        <w:br/>
      </w:r>
      <w:r>
        <w:rPr>
          <w:b/>
          <w:i w:val="0"/>
        </w:rPr>
        <w:t>Điều 1.</w:t>
      </w:r>
      <w:r>
        <w:rPr>
          <w:b w:val="0"/>
          <w:i w:val="0"/>
        </w:rPr>
        <w:t xml:space="preserve"> Phê duyệt Phương án cổ phần hoá Nhà máy Nhựa Tân Phú thuộc Công ty Nhựa Việt Nam (doanh nghiệp trực thuộc Bộ Công nghiệp) gồm những điểm chính như sau :</w:t>
      </w:r>
      <w:r>
        <w:rPr>
          <w:b w:val="0"/>
          <w:i w:val="0"/>
        </w:rPr>
        <w:br/>
      </w:r>
      <w:r>
        <w:rPr>
          <w:b w:val="0"/>
          <w:i w:val="0"/>
        </w:rPr>
        <w:t>1. Cơ cấu vốn điều lệ :</w:t>
      </w:r>
      <w:r>
        <w:rPr>
          <w:b w:val="0"/>
          <w:i w:val="0"/>
        </w:rPr>
        <w:br/>
      </w:r>
      <w:r>
        <w:rPr>
          <w:b w:val="0"/>
          <w:i w:val="0"/>
        </w:rPr>
        <w:t>Vốn điều lệ của Công ty cổ phần là 8.700.000.000 đồng (Tám tỷ bảy trăm triệu đồng chẵn).</w:t>
      </w:r>
      <w:r>
        <w:rPr>
          <w:b w:val="0"/>
          <w:i w:val="0"/>
        </w:rPr>
        <w:br/>
      </w:r>
      <w:r>
        <w:rPr>
          <w:b w:val="0"/>
          <w:i w:val="0"/>
        </w:rPr>
        <w:t>- Tỷ lệ cổ phần của Nhà nước : 51,00 %;</w:t>
      </w:r>
      <w:r>
        <w:rPr>
          <w:b w:val="0"/>
          <w:i w:val="0"/>
        </w:rPr>
        <w:br/>
      </w:r>
      <w:r>
        <w:rPr>
          <w:b w:val="0"/>
          <w:i w:val="0"/>
        </w:rPr>
        <w:t>- Tỷ lệ cổ phần bán cho người lao động trong Nhà máy : 39,68 %;</w:t>
      </w:r>
      <w:r>
        <w:rPr>
          <w:b w:val="0"/>
          <w:i w:val="0"/>
        </w:rPr>
        <w:br/>
      </w:r>
      <w:r>
        <w:rPr>
          <w:b w:val="0"/>
          <w:i w:val="0"/>
        </w:rPr>
        <w:t>- Tỷ lệ cổ phần bán ra ngoài Nhà máy : 9,32 %.</w:t>
      </w:r>
      <w:r>
        <w:rPr>
          <w:b w:val="0"/>
          <w:i w:val="0"/>
        </w:rPr>
        <w:br/>
      </w:r>
      <w:r>
        <w:rPr>
          <w:b w:val="0"/>
          <w:i w:val="0"/>
        </w:rPr>
        <w:t>Trị giá một cổ phần : 100.000 đồng.</w:t>
      </w:r>
      <w:r>
        <w:rPr>
          <w:b w:val="0"/>
          <w:i w:val="0"/>
        </w:rPr>
        <w:br/>
      </w:r>
      <w:r>
        <w:rPr>
          <w:b w:val="0"/>
          <w:i w:val="0"/>
        </w:rPr>
        <w:t>2. Giá trị thực tế của Nhà máy Nhựa Tân Phú tại thời điểm ngày 31 tháng 3 năm 2004 để cổ phần hoá (Quyết định số 1969/QĐ-TCKT ngày 27 tháng 7 năm 2004 của Bộ Công nghiệp) là 47.263.056.529 đồng. Trong đó, giá trị thực tế phần vốn Nhà nước tại Nhà máy là 6.341.376.718 đồng.</w:t>
      </w:r>
      <w:r>
        <w:rPr>
          <w:b w:val="0"/>
          <w:i w:val="0"/>
        </w:rPr>
        <w:br/>
      </w:r>
      <w:r>
        <w:rPr>
          <w:b w:val="0"/>
          <w:i w:val="0"/>
        </w:rPr>
        <w:t>3. Ưu đãi cho người lao động trong Nhà máy.</w:t>
      </w:r>
      <w:r>
        <w:rPr>
          <w:b w:val="0"/>
          <w:i w:val="0"/>
        </w:rPr>
        <w:br/>
      </w:r>
      <w:r>
        <w:rPr>
          <w:b w:val="0"/>
          <w:i w:val="0"/>
        </w:rPr>
        <w:t>Tổng số cổ phần bán ưu đãi cho 197 lao động trong Nhà máy là 18.905 cổ phần với giá trị được ưu đãi là 567.150.000 đồng.</w:t>
      </w:r>
      <w:r>
        <w:rPr>
          <w:b w:val="0"/>
          <w:i w:val="0"/>
        </w:rPr>
        <w:br/>
      </w:r>
      <w:r>
        <w:rPr>
          <w:b w:val="0"/>
          <w:i w:val="0"/>
        </w:rPr>
        <w:t>4. Về chi phí cổ phần hoá, đào tạo lại lao động và giải quyết lao động dôi dư của Nhà máy, Công ty Nhựa Việt Nam làm thủ tục, báo cáo Bộ Công nghiệp và các cơ quan có thẩm quyền của Nhà nước phê duyệt theo các quy định hiện hành.</w:t>
      </w:r>
      <w:r>
        <w:rPr>
          <w:b w:val="0"/>
          <w:i w:val="0"/>
        </w:rPr>
        <w:br/>
      </w:r>
      <w:r>
        <w:rPr>
          <w:b/>
          <w:i w:val="0"/>
        </w:rPr>
        <w:t>Điều 2.</w:t>
      </w:r>
      <w:r>
        <w:rPr>
          <w:b w:val="0"/>
          <w:i w:val="0"/>
        </w:rPr>
        <w:t xml:space="preserve"> Chuyển Nhà máy Nhựa Tân Phú thuộc Công ty Nhựa Việt Nam thành Công ty cổ phần Nhựa Tân Phú,</w:t>
      </w:r>
      <w:r>
        <w:rPr>
          <w:b w:val="0"/>
          <w:i w:val="0"/>
        </w:rPr>
        <w:br/>
      </w:r>
      <w:r>
        <w:rPr>
          <w:b w:val="0"/>
          <w:i w:val="0"/>
        </w:rPr>
        <w:t>- Tên giao dịch quốc tế:</w:t>
      </w:r>
      <w:r>
        <w:rPr>
          <w:b/>
          <w:i w:val="0"/>
        </w:rPr>
        <w:t xml:space="preserve"> </w:t>
      </w:r>
      <w:r>
        <w:rPr>
          <w:b w:val="0"/>
          <w:i w:val="0"/>
        </w:rPr>
        <w:t>TAN PHU PLASTIC JOINT STOCK COMPANY;</w:t>
      </w:r>
      <w:r>
        <w:rPr>
          <w:b w:val="0"/>
          <w:i w:val="0"/>
        </w:rPr>
        <w:br/>
      </w:r>
      <w:r>
        <w:rPr>
          <w:b w:val="0"/>
          <w:i w:val="0"/>
        </w:rPr>
        <w:t>- Tên viết tắt: TAPLAST;</w:t>
      </w:r>
      <w:r>
        <w:rPr>
          <w:b w:val="0"/>
          <w:i w:val="0"/>
        </w:rPr>
        <w:br/>
      </w:r>
      <w:r>
        <w:rPr>
          <w:b w:val="0"/>
          <w:i w:val="0"/>
        </w:rPr>
        <w:t>- Trụ sở chính: số 323 Luỹ Bán Bích, phường Hoà Thạnh, quận Tân phú, Thành phố Hồ Chí Minh.</w:t>
      </w:r>
      <w:r>
        <w:rPr>
          <w:b w:val="0"/>
          <w:i w:val="0"/>
        </w:rPr>
        <w:br/>
      </w:r>
      <w:r>
        <w:rPr>
          <w:b/>
          <w:i w:val="0"/>
        </w:rPr>
        <w:t>Điều 3.</w:t>
      </w:r>
      <w:r>
        <w:rPr>
          <w:b w:val="0"/>
          <w:i w:val="0"/>
        </w:rPr>
        <w:t xml:space="preserve"> Công ty cổ phần kinh doanh các ngành nghề:</w:t>
      </w:r>
      <w:r>
        <w:rPr>
          <w:b w:val="0"/>
          <w:i w:val="0"/>
        </w:rPr>
        <w:br/>
      </w:r>
      <w:r>
        <w:rPr>
          <w:b w:val="0"/>
          <w:i w:val="0"/>
        </w:rPr>
        <w:t>- Sản xuất các sản phẩm, bao bì, phụ tùng, linh kiện nhựa phục vụ cho các ngành công, nông, ngư nghiệp, giao thông, vận tải, xây dựng, bưu chính viễn thông và dân dụng; chế tạo khuôn mẫu, phụ tùng ngành nhựa;</w:t>
      </w:r>
      <w:r>
        <w:rPr>
          <w:b w:val="0"/>
          <w:i w:val="0"/>
        </w:rPr>
        <w:br/>
      </w:r>
      <w:r>
        <w:rPr>
          <w:b w:val="0"/>
          <w:i w:val="0"/>
        </w:rPr>
        <w:t>- Kinh doanh xuất nhập khẩu tổng hợp: nguyên liệu, vật tư sản xuất ngành nhựa;</w:t>
      </w:r>
      <w:r>
        <w:rPr>
          <w:b w:val="0"/>
          <w:i w:val="0"/>
        </w:rPr>
        <w:br/>
      </w:r>
      <w:r>
        <w:rPr>
          <w:b w:val="0"/>
          <w:i w:val="0"/>
        </w:rPr>
        <w:t>- Kinh doanh các ngành nghề khác phù hợp với quy định của pháp luật.</w:t>
      </w:r>
      <w:r>
        <w:rPr>
          <w:b w:val="0"/>
          <w:i w:val="0"/>
        </w:rPr>
        <w:br/>
      </w:r>
      <w:r>
        <w:rPr>
          <w:b/>
          <w:i w:val="0"/>
        </w:rPr>
        <w:t>Điều 4.</w:t>
      </w:r>
      <w:r>
        <w:rPr>
          <w:b w:val="0"/>
          <w:i w:val="0"/>
        </w:rPr>
        <w:t xml:space="preserve"> Công ty cổ phần Nhựa Tân Phú là pháp nhân theo pháp luật Việt Nam kể từ ngày được cấp đăng ký kinh doanh, thực hiện hạch toán kinh tế độc lập, được sử dụng con dấu riêng, được mở tài khoản tại ngân hàng theo quy định của pháp luật, hoạt động theo Điều lệ của Công ty cổ phần và Luật Doanh nghiệp.</w:t>
      </w:r>
      <w:r>
        <w:rPr>
          <w:b w:val="0"/>
          <w:i w:val="0"/>
        </w:rPr>
        <w:br/>
      </w:r>
      <w:r>
        <w:rPr>
          <w:b/>
          <w:i w:val="0"/>
        </w:rPr>
        <w:t>Điều 5.</w:t>
      </w:r>
      <w:r>
        <w:rPr>
          <w:b w:val="0"/>
          <w:i w:val="0"/>
        </w:rPr>
        <w:t xml:space="preserve"> Công ty Nhựa Việt Nam tổ chức bán cổ phần và tổ chức Đại hội đồng cổ đông lần đầu Công ty cổ phần Nhựa Tân Phú theo đúng quy định hiện hành.</w:t>
      </w:r>
      <w:r>
        <w:rPr>
          <w:b w:val="0"/>
          <w:i w:val="0"/>
        </w:rPr>
        <w:br/>
      </w:r>
      <w:r>
        <w:rPr>
          <w:b w:val="0"/>
          <w:i w:val="0"/>
        </w:rPr>
        <w:t>Tổng giám đốc và Kế toán trưởng Công ty Nhựa Việt Nam có trách nhiệm điều hành công việc của Nhà máy cho đến khi bàn giao toàn bộ vốn, tài sản, lao động, nhà xưởng cho Hội đồng quản trị và Giám đốc Công ty cổ phần.</w:t>
      </w:r>
      <w:r>
        <w:rPr>
          <w:b w:val="0"/>
          <w:i w:val="0"/>
        </w:rPr>
        <w:br/>
      </w:r>
      <w:r>
        <w:rPr>
          <w:b/>
          <w:i w:val="0"/>
        </w:rPr>
        <w:t>Điều 6.</w:t>
      </w:r>
      <w:r>
        <w:rPr>
          <w:b w:val="0"/>
          <w:i w:val="0"/>
        </w:rPr>
        <w:t xml:space="preserve"> Quyết định này có hiệu lực sau 15 ngày, kể từ ngày đăng Công báo.</w:t>
      </w:r>
      <w:r>
        <w:rPr>
          <w:b w:val="0"/>
          <w:i w:val="0"/>
        </w:rPr>
        <w:br/>
      </w:r>
      <w:r>
        <w:rPr>
          <w:b w:val="0"/>
          <w:i w:val="0"/>
        </w:rPr>
        <w:t>Chánh Văn phòng Bộ, Chánh Thanh tra Bộ, các Vụ trưởng, Cục trưởng thuộc Bộ, Tổng giám đốc Công ty Nhựa Việt Nam, Giám đốc Nhà máy Nhựa Tân Phú và Chủ tịch Hội đồng quản trị, Giám đốc Công ty cổ phần Nhựa Tân Phú chịu trách nhiệm thi hành Quyết định này./.</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rPr>
        <w:t>Nơi nhận</w:t>
      </w:r>
      <w:r>
        <w:rPr>
          <w:b w:val="0"/>
          <w:i w:val="0"/>
        </w:rPr>
        <w:t xml:space="preserve">: </w:t>
      </w:r>
      <w:r>
        <w:br/>
      </w:r>
      <w:r>
        <w:rPr>
          <w:b w:val="0"/>
          <w:i w:val="0"/>
        </w:rPr>
        <w:br/>
        <w:t xml:space="preserve">         - Như Điều 6,</w:t>
      </w:r>
      <w:r>
        <w:br/>
      </w:r>
      <w:r>
        <w:rPr>
          <w:b w:val="0"/>
          <w:i w:val="0"/>
        </w:rPr>
        <w:br/>
        <w:t xml:space="preserve">         - Văn phòng Chính phủ,</w:t>
      </w:r>
      <w:r>
        <w:br/>
      </w:r>
      <w:r>
        <w:rPr>
          <w:b w:val="0"/>
          <w:i w:val="0"/>
        </w:rPr>
        <w:br/>
        <w:t xml:space="preserve">         - Ban Chỉ đạo ĐM và PTDN,</w:t>
      </w:r>
      <w:r>
        <w:br/>
      </w:r>
      <w:r>
        <w:rPr>
          <w:b w:val="0"/>
          <w:i w:val="0"/>
        </w:rPr>
        <w:br/>
        <w:t xml:space="preserve">         - Các Bộ: Tài chính, KH và ĐT, Nội vụ, LĐTB và XH, Tư pháp,</w:t>
      </w:r>
      <w:r>
        <w:br/>
      </w:r>
      <w:r>
        <w:rPr>
          <w:b w:val="0"/>
          <w:i w:val="0"/>
        </w:rPr>
        <w:br/>
        <w:t xml:space="preserve">         - Ngân hàng Nhà nước VN</w:t>
      </w:r>
      <w:r>
        <w:rPr>
          <w:b/>
          <w:i w:val="0"/>
        </w:rPr>
        <w:t xml:space="preserve">, </w:t>
      </w:r>
      <w:r>
        <w:br/>
      </w:r>
      <w:r>
        <w:rPr>
          <w:b w:val="0"/>
          <w:i w:val="0"/>
        </w:rPr>
        <w:br/>
        <w:t xml:space="preserve">         - UBND TP Hồ Chí Minh</w:t>
      </w:r>
      <w:r>
        <w:rPr>
          <w:b/>
          <w:i/>
        </w:rPr>
        <w:t>,</w:t>
      </w:r>
      <w:r>
        <w:rPr>
          <w:b w:val="0"/>
          <w:i w:val="0"/>
        </w:rPr>
        <w:t xml:space="preserve"> </w:t>
      </w:r>
      <w:r>
        <w:br/>
      </w:r>
      <w:r>
        <w:rPr>
          <w:b w:val="0"/>
          <w:i w:val="0"/>
        </w:rPr>
        <w:br/>
        <w:t xml:space="preserve">         - Đ/c Bộ trưởng (để báo cáo), </w:t>
      </w:r>
      <w:r>
        <w:br/>
      </w:r>
      <w:r>
        <w:rPr>
          <w:b w:val="0"/>
          <w:i w:val="0"/>
        </w:rPr>
        <w:br/>
        <w:t xml:space="preserve">         - Các đ/c Thứ trưởng,</w:t>
      </w:r>
      <w:r>
        <w:br/>
      </w:r>
      <w:r>
        <w:rPr>
          <w:b w:val="0"/>
          <w:i w:val="0"/>
        </w:rPr>
        <w:br/>
        <w:t xml:space="preserve">         - Các TV Ban ĐM và PTDN Bộ,</w:t>
      </w:r>
      <w:r>
        <w:br/>
      </w:r>
      <w:r>
        <w:rPr>
          <w:b w:val="0"/>
          <w:i w:val="0"/>
        </w:rPr>
        <w:br/>
        <w:t xml:space="preserve">         - Công báo,</w:t>
      </w:r>
      <w:r>
        <w:br/>
      </w:r>
      <w:r>
        <w:rPr>
          <w:b w:val="0"/>
          <w:i w:val="0"/>
        </w:rPr>
        <w:br/>
        <w:t xml:space="preserve">         - Lưu VP, TCCB.</w:t>
      </w:r>
      <w:r>
        <w:rPr>
          <w:b w:val="0"/>
          <w:i w:val="0"/>
        </w:rPr>
        <w:br/>
      </w:r>
      <w:r>
        <w:rPr>
          <w:b w:val="0"/>
          <w:i w:val="0"/>
        </w:rPr>
        <w:br/>
      </w:r>
      <w:r>
        <w:rPr>
          <w:b/>
          <w:i w:val="0"/>
        </w:rPr>
        <w:t xml:space="preserve">KT. BỘ TRƯỞNG </w:t>
      </w:r>
      <w:r>
        <w:br/>
      </w:r>
      <w:r>
        <w:rPr>
          <w:b/>
          <w:i w:val="0"/>
        </w:rPr>
        <w:t>THỨ TRƯỞNG</w:t>
      </w:r>
      <w:r>
        <w:br/>
      </w:r>
      <w:r>
        <w:br/>
      </w:r>
      <w:r>
        <w:rPr>
          <w:b/>
          <w:i/>
        </w:rPr>
        <w:t>(Đã ký)</w:t>
      </w:r>
      <w:r>
        <w:br/>
      </w:r>
      <w:r>
        <w:br/>
      </w:r>
      <w:r>
        <w:rPr>
          <w:b/>
          <w:i w:val="0"/>
        </w:rPr>
        <w:br/>
        <w:t xml:space="preserve">          Bùi Xuân Khu</w:t>
      </w:r>
      <w:r>
        <w:rPr>
          <w:b w:val="0"/>
          <w:i w:val="0"/>
        </w:rPr>
        <w:br/>
      </w:r>
      <w:r>
        <w:rPr>
          <w:b w:val="0"/>
          <w:i w:val="0"/>
        </w:rPr>
        <w:br/>
      </w:r>
      <w:r>
        <w:rPr>
          <w:b w:val="0"/>
          <w:i w:val="0"/>
        </w:rPr>
        <w:br/>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CÔNG NGHIỆP</w:t>
            </w:r>
            <w:r>
              <w:br/>
            </w:r>
            <w:r>
              <w:rPr>
                <w:b w:val="0"/>
                <w:i w:val="0"/>
              </w:rPr>
              <w:t>******</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val="0"/>
                <w:i w:val="0"/>
              </w:rPr>
              <w:t>********</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rPr>
                <w:b w:val="0"/>
                <w:i w:val="0"/>
              </w:rPr>
              <w:t xml:space="preserve">: </w:t>
            </w:r>
            <w:r>
              <w:br/>
            </w:r>
            <w:r>
              <w:rPr>
                <w:b w:val="0"/>
                <w:i w:val="0"/>
              </w:rPr>
              <w:br/>
              <w:t xml:space="preserve">         - Như Điều 6,</w:t>
            </w:r>
            <w:r>
              <w:br/>
            </w:r>
            <w:r>
              <w:rPr>
                <w:b w:val="0"/>
                <w:i w:val="0"/>
              </w:rPr>
              <w:br/>
              <w:t xml:space="preserve">         - Văn phòng Chính phủ,</w:t>
            </w:r>
            <w:r>
              <w:br/>
            </w:r>
            <w:r>
              <w:rPr>
                <w:b w:val="0"/>
                <w:i w:val="0"/>
              </w:rPr>
              <w:br/>
              <w:t xml:space="preserve">         - Ban Chỉ đạo ĐM và PTDN,</w:t>
            </w:r>
            <w:r>
              <w:br/>
            </w:r>
            <w:r>
              <w:rPr>
                <w:b w:val="0"/>
                <w:i w:val="0"/>
              </w:rPr>
              <w:br/>
              <w:t xml:space="preserve">         - Các Bộ: Tài chính, KH và ĐT, Nội vụ, LĐTB và XH, Tư pháp,</w:t>
            </w:r>
            <w:r>
              <w:br/>
            </w:r>
            <w:r>
              <w:rPr>
                <w:b w:val="0"/>
                <w:i w:val="0"/>
              </w:rPr>
              <w:br/>
              <w:t xml:space="preserve">         - Ngân hàng Nhà nước VN</w:t>
            </w:r>
            <w:r>
              <w:rPr>
                <w:b/>
                <w:i w:val="0"/>
              </w:rPr>
              <w:t xml:space="preserve">, </w:t>
            </w:r>
            <w:r>
              <w:br/>
            </w:r>
            <w:r>
              <w:rPr>
                <w:b w:val="0"/>
                <w:i w:val="0"/>
              </w:rPr>
              <w:br/>
              <w:t xml:space="preserve">         - UBND TP Hồ Chí Minh</w:t>
            </w:r>
            <w:r>
              <w:rPr>
                <w:b/>
                <w:i/>
              </w:rPr>
              <w:t>,</w:t>
            </w:r>
            <w:r>
              <w:rPr>
                <w:b w:val="0"/>
                <w:i w:val="0"/>
              </w:rPr>
              <w:t xml:space="preserve"> </w:t>
            </w:r>
            <w:r>
              <w:br/>
            </w:r>
            <w:r>
              <w:rPr>
                <w:b w:val="0"/>
                <w:i w:val="0"/>
              </w:rPr>
              <w:br/>
              <w:t xml:space="preserve">         - Đ/c Bộ trưởng (để báo cáo), </w:t>
            </w:r>
            <w:r>
              <w:br/>
            </w:r>
            <w:r>
              <w:rPr>
                <w:b w:val="0"/>
                <w:i w:val="0"/>
              </w:rPr>
              <w:br/>
              <w:t xml:space="preserve">         - Các đ/c Thứ trưởng,</w:t>
            </w:r>
            <w:r>
              <w:br/>
            </w:r>
            <w:r>
              <w:rPr>
                <w:b w:val="0"/>
                <w:i w:val="0"/>
              </w:rPr>
              <w:br/>
              <w:t xml:space="preserve">         - Các TV Ban ĐM và PTDN Bộ,</w:t>
            </w:r>
            <w:r>
              <w:br/>
            </w:r>
            <w:r>
              <w:rPr>
                <w:b w:val="0"/>
                <w:i w:val="0"/>
              </w:rPr>
              <w:br/>
              <w:t xml:space="preserve">         - Công báo,</w:t>
            </w:r>
            <w:r>
              <w:br/>
            </w:r>
            <w:r>
              <w:rPr>
                <w:b w:val="0"/>
                <w:i w:val="0"/>
              </w:rPr>
              <w:br/>
              <w:t xml:space="preserve">         - Lưu VP, TCCB.</w:t>
            </w:r>
          </w:p>
        </w:tc>
        <w:tc>
          <w:tcPr>
            <w:tcW w:type="dxa" w:w="4320"/>
          </w:tcPr>
          <w:p>
            <w:r>
              <w:rPr>
                <w:b w:val="0"/>
                <w:i w:val="0"/>
              </w:rPr>
              <w:br/>
            </w:r>
            <w:r>
              <w:rPr>
                <w:b/>
                <w:i w:val="0"/>
              </w:rPr>
              <w:t xml:space="preserve">KT. BỘ TRƯỞNG </w:t>
            </w:r>
            <w:r>
              <w:br/>
            </w:r>
            <w:r>
              <w:rPr>
                <w:b/>
                <w:i w:val="0"/>
              </w:rPr>
              <w:t>THỨ TRƯỞNG</w:t>
            </w:r>
            <w:r>
              <w:br/>
            </w:r>
            <w:r>
              <w:br/>
            </w:r>
            <w:r>
              <w:rPr>
                <w:b/>
                <w:i/>
              </w:rPr>
              <w:t>(Đã ký)</w:t>
            </w:r>
            <w:r>
              <w:br/>
            </w:r>
            <w:r>
              <w:br/>
            </w:r>
            <w:r>
              <w:rPr>
                <w:b/>
                <w:i w:val="0"/>
              </w:rPr>
              <w:br/>
              <w:t xml:space="preserve">          Bùi Xuân Khu</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