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1029 /QĐ-UBND Về một số quy chế trong công tác đào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QUYẾT ĐỊNH</w:t>
      </w:r>
    </w:p>
    <w:p>
      <w:pPr>
        <w:jc w:val="center"/>
      </w:pPr>
      <w:r>
        <w:rPr>
          <w:b/>
          <w:i w:val="0"/>
        </w:rPr>
        <w:t xml:space="preserve"> Về một số quy chế trong công tác đào tạo </w:t>
      </w:r>
    </w:p>
    <w:p>
      <w:pPr>
        <w:jc w:val="center"/>
      </w:pPr>
      <w:r>
        <w:rPr>
          <w:b/>
          <w:i w:val="0"/>
        </w:rPr>
        <w:t>ỦY BAN NHÂN DÂN TỈNH</w:t>
      </w:r>
    </w:p>
    <w:p>
      <w:r>
        <w:rPr>
          <w:b w:val="0"/>
          <w:i w:val="0"/>
        </w:rPr>
        <w:t>- Căn cứ vào Chỉ thị số 32/CTTV ngày 11 tháng 9 năm 1979 của Ban Thường vụ Tỉnh uỷ về việc giáo dục đạo đức cách mạng cho học sinh.</w:t>
      </w:r>
    </w:p>
    <w:p>
      <w:r>
        <w:rPr>
          <w:b w:val="0"/>
          <w:i w:val="0"/>
        </w:rPr>
        <w:t>- Căn cứ vào Quyết định số 01/QĐ-TW của UBCCGD Trung ương về việc giáo dục phẩm chất đạo đức cách mạng trong trường học.</w:t>
      </w:r>
    </w:p>
    <w:p>
      <w:r>
        <w:rPr>
          <w:b w:val="0"/>
          <w:i w:val="0"/>
        </w:rPr>
        <w:t>- Căn cứ nghị định số 24/CP ngày 02 tháng 02 năm 1976 của Hội đồng Chính phủ quy định nhiệm vụ, quyền hạn và trách nhiệm của chính quyền nhà nước cấp tỉnh trong lĩnh vực quản lý kinh tế, quản lý văn hoá xã hội.</w:t>
      </w:r>
    </w:p>
    <w:p>
      <w:r>
        <w:rPr>
          <w:b w:val="0"/>
          <w:i w:val="0"/>
        </w:rPr>
        <w:t>- Xét đề nghị của ông Trưởng Ty giáo dục và Ban giáo dục chuyên nghiệp tỉnh Bến Tre.</w:t>
      </w:r>
    </w:p>
    <w:p>
      <w:pPr>
        <w:jc w:val="center"/>
      </w:pPr>
      <w:r>
        <w:rPr>
          <w:b/>
          <w:i w:val="0"/>
        </w:rPr>
        <w:t>QUYẾT ĐỊNH:</w:t>
      </w:r>
    </w:p>
    <w:p>
      <w:r>
        <w:rPr>
          <w:b/>
          <w:i w:val="0"/>
        </w:rPr>
        <w:t>Điều 1.</w:t>
      </w:r>
      <w:r>
        <w:rPr>
          <w:b w:val="0"/>
          <w:i w:val="0"/>
        </w:rPr>
        <w:t xml:space="preserve"> Các Ty, Ban ngành chủ quản, các Ty Ban ngành liên quan có trách nhiệm chăm lo công tác đào tạo, tạo mọi điều kiện để xây dựng bộ máy lãnh đạo nhà trường, đội ngũ giáo viên đủ mạnh, tạo cơ sở vật chất kỹ thuật học tập nhằm nâng cao chất lượng dạy và học, tạo điều kiện cải thiện việc ăn ở, sinh hoạt, học tập cho giáo viên, học sinh, quan tâm chăm sóc con liệt sĩ, thương binh, gia đình có công với cách mạng.</w:t>
      </w:r>
    </w:p>
    <w:p>
      <w:r>
        <w:rPr>
          <w:b/>
          <w:i w:val="0"/>
        </w:rPr>
        <w:t>Điều 2.</w:t>
      </w:r>
      <w:r>
        <w:rPr>
          <w:b w:val="0"/>
          <w:i w:val="0"/>
        </w:rPr>
        <w:t xml:space="preserve"> Nhà trường và ngành chủ quản kết hợp với các ngành, các địa phương nghiêm cứu, bố trí, sử dụng, bồi dưỡng học sinh khi ra trường, tạo mọi điều kiện thuận tiện để anh chị em công tác, chăm sóc đời sống vật chất và tinh thần cho anh chị em.</w:t>
      </w:r>
    </w:p>
    <w:p>
      <w:r>
        <w:rPr>
          <w:b/>
          <w:i w:val="0"/>
        </w:rPr>
        <w:t>Điều 3.</w:t>
      </w:r>
      <w:r>
        <w:rPr>
          <w:b w:val="0"/>
          <w:i w:val="0"/>
        </w:rPr>
        <w:t xml:space="preserve"> Đối với học sinh các trường Cao đẳng, Trung học chuyên nghiệp, các Trường bổ túc văn hoá công nông khi vào học phải cam kết thực hiện đúng mục tiêu, yêu cầu đào tạo, thực hiện tốt mọi quy chế của nhà trường, tích cực học tập và rèn luyện đạo đức, sẵn sàng nhận bất cứ nhiệm vụ gì và đi bất cứ nơi nào khi được tổ chức phân công khi tốt nghiệp.</w:t>
      </w:r>
    </w:p>
    <w:p>
      <w:r>
        <w:rPr>
          <w:b w:val="0"/>
          <w:i w:val="0"/>
        </w:rPr>
        <w:t>- Gia đình phải cam kết hoàn trả tồn phí suốt thời gian học tập nếu con em mình không chấp hành đúng những điều kiện trên.</w:t>
      </w:r>
    </w:p>
    <w:p>
      <w:r>
        <w:rPr>
          <w:b w:val="0"/>
          <w:i w:val="0"/>
        </w:rPr>
        <w:t>- Trong thời gian học tập nếu học sinh nào vi phạm nội quy, kỷ luật nhà trường được phê bình, giáo dục nhiều lần mà không sửa chữa thì Hội đồng kỷ luật nhà trường có quyền Quyết định đuổi học hoặc thi hành kỷ luật trả về địa phương hoặc đơn vị công tác cũ.</w:t>
      </w:r>
    </w:p>
    <w:p>
      <w:r>
        <w:rPr>
          <w:b/>
          <w:i w:val="0"/>
        </w:rPr>
        <w:t>Điều 4.</w:t>
      </w:r>
      <w:r>
        <w:rPr>
          <w:b w:val="0"/>
          <w:i w:val="0"/>
        </w:rPr>
        <w:t xml:space="preserve"> Học sinh các trường bổ túc văn hoá công nông sau khi học nếu không được đậu vào trường đại học hoặc cao đẳng hay trung học chuyên nghiệp sẽ được trả về cơ quan, đơn vị đã giới thiệu đi học hoặc trả về địa phương và được tiếp tục đào tạo ở các trường công nhân kỹ thuật nghiệp vụ sơ cấp.</w:t>
      </w:r>
    </w:p>
    <w:p>
      <w:r>
        <w:rPr>
          <w:b w:val="0"/>
          <w:i w:val="0"/>
        </w:rPr>
        <w:t>Học sinh nào học kém không lý do chính đáng sẽ không được lưu ban. Học sinh nào được lưu ban chỉ được 1 năm.</w:t>
      </w:r>
    </w:p>
    <w:p>
      <w:r>
        <w:rPr>
          <w:b/>
          <w:i w:val="0"/>
        </w:rPr>
        <w:t>Điều 5</w:t>
      </w:r>
      <w:r>
        <w:rPr>
          <w:b w:val="0"/>
          <w:i w:val="0"/>
        </w:rPr>
        <w:t>. Các Ty, Ban ngành, các Trường, các địa phương căn cứ vào chức năng, nhiệm vụ đựơc giao chiếu Quyết định thi hành.</w:t>
      </w:r>
    </w:p>
    <w:p>
      <w:r>
        <w:rPr>
          <w:b w:val="0"/>
          <w:i w:val="0"/>
        </w:rPr>
        <w:t>Quyết định này có hiệu lực kể từ ngày ký./.</w:t>
      </w:r>
    </w:p>
    <w:p>
      <w:pPr>
        <w:jc w:val="center"/>
      </w:pPr>
      <w:r>
        <w:rPr>
          <w:b/>
          <w:i w:val="0"/>
        </w:rPr>
        <w:t xml:space="preserve">                           TM.UỶ BAN NHÂN DÂN TỈNH</w:t>
      </w:r>
    </w:p>
    <w:p>
      <w:pPr>
        <w:jc w:val="center"/>
      </w:pPr>
      <w:r>
        <w:rPr>
          <w:b/>
          <w:i w:val="0"/>
        </w:rPr>
        <w:t xml:space="preserve">                        PHÓ CHỦ TỊCH</w:t>
      </w:r>
    </w:p>
    <w:p>
      <w:pPr>
        <w:jc w:val="center"/>
      </w:pPr>
      <w:r>
        <w:rPr>
          <w:b/>
          <w:i w:val="0"/>
        </w:rPr>
        <w:t xml:space="preserve">                      Đoàn Tứ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