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102/2000/QĐ-UB Về việc bổ sung Điều 1, Mục I Quyết định 88/2000/QĐ.UB ngày 10/11/2000 của UBND tỉnh về: Chính sách hỗ trợ đầu tư thâm canh, mở rộng diện tích lạc, lúa lai và ngô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UỶ BAN NHÂN DÂN</w:t>
            </w:r>
            <w:r>
              <w:rPr>
                <w:b w:val="0"/>
                <w:i w:val="0"/>
              </w:rPr>
              <w:br/>
            </w:r>
            <w:r>
              <w:rPr>
                <w:b w:val="0"/>
                <w:i w:val="0"/>
              </w:rPr>
              <w:br/>
            </w:r>
            <w:r>
              <w:rPr>
                <w:b w:val="0"/>
                <w:i w:val="0"/>
              </w:rPr>
              <w:br/>
            </w:r>
            <w:r>
              <w:rPr>
                <w:b/>
                <w:i w:val="0"/>
              </w:rPr>
              <w:t>TỈNH NGHỆ AN</w:t>
            </w:r>
            <w:r>
              <w:rPr>
                <w:b w:val="0"/>
                <w:i w:val="0"/>
              </w:rPr>
              <w:br/>
            </w:r>
          </w:p>
        </w:tc>
        <w:tc>
          <w:tcPr>
            <w:tcW w:type="dxa" w:w="4320"/>
          </w:tcPr>
          <w:p>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QUYẾT ĐỊNH CỦA UBND TỈNH NGHỆ AN</w:t>
      </w:r>
    </w:p>
    <w:p>
      <w:pPr>
        <w:jc w:val="center"/>
      </w:pPr>
      <w:r>
        <w:rPr>
          <w:b/>
          <w:i w:val="0"/>
        </w:rPr>
        <w:t>Về việc bổ sung Điều 1, Mục I Quyết định 88/2000/QĐ-UB ngày 10/11/2000 của UBND tỉnh về Chính sách hỗ trợ đầu tư thâm canh, mở rộng diện tích lạc, lúa lai và ngô lai.</w:t>
      </w:r>
    </w:p>
    <w:p>
      <w:r>
        <w:rPr>
          <w:b w:val="0"/>
          <w:i w:val="0"/>
        </w:rPr>
        <w:t xml:space="preserve"> ------------------------------</w:t>
      </w:r>
    </w:p>
    <w:p>
      <w:pPr>
        <w:jc w:val="center"/>
      </w:pPr>
      <w:r>
        <w:rPr>
          <w:b/>
          <w:i w:val="0"/>
        </w:rPr>
        <w:t>UỶ BAN NHÂN DÂN TỈNH NGHỆ AN</w:t>
      </w:r>
    </w:p>
    <w:p>
      <w:pPr>
        <w:jc w:val="both"/>
      </w:pPr>
      <w:r>
        <w:rPr>
          <w:b w:val="0"/>
          <w:i/>
        </w:rPr>
        <w:t>Căn cứ Luật tổ chức HĐND vàUBND (sửa đổi) được Quốc hội thông qua ngày 21/6/1994;</w:t>
      </w:r>
    </w:p>
    <w:p>
      <w:pPr>
        <w:jc w:val="both"/>
      </w:pPr>
      <w:r>
        <w:rPr>
          <w:b w:val="0"/>
          <w:i/>
        </w:rPr>
        <w:t>Xét đề nghị của Giám đốc Sở Nông nghiệp và PTNT tại Tờ trình số 1989 NN.CS/TT ngày 29/12/2000 về việc đề nghị bổ sung chính sách đầu tư hỗ trợ sản xuất lạc bằng phương pháp tủ Nilon.</w:t>
      </w:r>
    </w:p>
    <w:p>
      <w:pPr>
        <w:jc w:val="center"/>
      </w:pPr>
      <w:r>
        <w:rPr>
          <w:b/>
          <w:i w:val="0"/>
        </w:rPr>
        <w:t>QUYẾT ĐỊNH:</w:t>
      </w:r>
    </w:p>
    <w:p>
      <w:pPr>
        <w:jc w:val="both"/>
      </w:pPr>
      <w:r>
        <w:rPr>
          <w:b/>
          <w:i w:val="0"/>
        </w:rPr>
        <w:t xml:space="preserve">Điều 1: </w:t>
      </w:r>
      <w:r>
        <w:rPr>
          <w:b w:val="0"/>
          <w:i w:val="0"/>
        </w:rPr>
        <w:t>Hộ nông dân sản xuất lạc bằng phương pháp tủ Nilon ngoài các chính sách đầu tư hỗ trợ quy định taị Điều 1, Mục I Quyết định số 88/2000/QĐ-UB ngày 10/11/2000 của UBND tỉnh còn được hưởng các chính sách bổ sung tại Quyết định như sau:</w:t>
      </w:r>
    </w:p>
    <w:p>
      <w:pPr>
        <w:jc w:val="both"/>
      </w:pPr>
      <w:r>
        <w:rPr>
          <w:b w:val="0"/>
          <w:i w:val="0"/>
        </w:rPr>
        <w:t>- Được hỗ trợ 10% giá Nilon và cấp 1000cc/1ha (50cc/1 sào) thuốc cỏ loại Ducal (Thuỵ Sỹ) hoặc Rolsta (của Pháp) để xử lý cỏ trước khi tủ nilon.</w:t>
      </w:r>
    </w:p>
    <w:p>
      <w:pPr>
        <w:jc w:val="both"/>
      </w:pPr>
      <w:r>
        <w:rPr>
          <w:b/>
          <w:i w:val="0"/>
        </w:rPr>
        <w:t>Điều 2</w:t>
      </w:r>
      <w:r>
        <w:rPr>
          <w:b w:val="0"/>
          <w:i w:val="0"/>
        </w:rPr>
        <w:t>: Giao cho Sở Nông nghiệp &amp; PTNT chịu trách nhiệm tổ chức chỉ đạo Công ty dịch vụ Vật tư BVTV Nghệ An; Trung tâm Khoa học Kỹ thuật, Khuyến nông và Khuyến lâm và các đơn vị liên quan theo chức năng cung ứng thuốc diệt cỏ, hướng dẫn kỹ thuật cho nông dân sản xuất lạc bằng phương pháp tủ Nilon.</w:t>
      </w:r>
    </w:p>
    <w:p>
      <w:pPr>
        <w:jc w:val="both"/>
      </w:pPr>
      <w:r>
        <w:rPr>
          <w:b w:val="0"/>
          <w:i w:val="0"/>
        </w:rPr>
        <w:t>Kinh phí chỉ đạo, thự hiện nhiệm vụ này được hưởng và quyết toán theo quy định tại Quyết định số 88/2000/QĐ-UB và hướng dẫn số 1594 HD.LN ngày 06/12//2000 của Liên ngành Nông nghiệp &amp; PTNT - Tài chính Vật giá.</w:t>
      </w:r>
    </w:p>
    <w:p>
      <w:pPr>
        <w:jc w:val="both"/>
      </w:pPr>
      <w:r>
        <w:rPr>
          <w:b/>
          <w:i w:val="0"/>
        </w:rPr>
        <w:t>Điều 3</w:t>
      </w:r>
      <w:r>
        <w:rPr>
          <w:b w:val="0"/>
          <w:i w:val="0"/>
        </w:rPr>
        <w:t>: Quyết định này có hiệu lực kể từ ngày ký.</w:t>
      </w:r>
    </w:p>
    <w:p>
      <w:pPr>
        <w:jc w:val="both"/>
      </w:pPr>
      <w:r>
        <w:rPr>
          <w:b w:val="0"/>
          <w:i w:val="0"/>
        </w:rPr>
        <w:t>Các ông: Chánh Văn phòng UBND tỉnh, Giám đốc Sở Kế hoạch &amp; Đầu tưu, Tài chính-Vật giá, Khoa học Công nghệ và Môi trường, Nông nghiệp và PTNT, Ngân hàng Nhà nước, Trưởng ban dân tộc và Miền núi, Chủ tịch UBND các huyện, thành phố, thị xã; Giám đốc Công ty Vật tư nông nghiệp Nghệ An, Công ty Giống cây trồng Nghệ An và Thủ trưởng các ngành,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br/>
            </w:r>
            <w:r>
              <w:rPr>
                <w:b w:val="0"/>
                <w:i w:val="0"/>
              </w:rPr>
              <w:br/>
            </w:r>
            <w:r>
              <w:rPr>
                <w:b w:val="0"/>
                <w:i w:val="0"/>
              </w:rPr>
              <w:br/>
            </w:r>
            <w:r>
              <w:rPr>
                <w:b/>
                <w:i w:val="0"/>
              </w:rPr>
              <w:t xml:space="preserve">PHÓ CHỦ TỊCH </w:t>
            </w:r>
            <w:r>
              <w:rPr>
                <w:b w:val="0"/>
                <w:i w:val="0"/>
              </w:rPr>
              <w:br/>
            </w:r>
            <w:r>
              <w:rPr>
                <w:b/>
                <w:i w:val="0"/>
              </w:rPr>
              <w:t>(</w:t>
            </w:r>
            <w:r>
              <w:rPr>
                <w:b/>
                <w:i/>
              </w:rPr>
              <w:t>Đã ký)</w:t>
            </w:r>
            <w:r>
              <w:rPr>
                <w:b w:val="0"/>
                <w:i w:val="0"/>
              </w:rPr>
              <w:br/>
            </w:r>
            <w:r>
              <w:rPr>
                <w:b/>
                <w:i/>
              </w:rPr>
              <w:t xml:space="preserve"> </w:t>
            </w:r>
            <w:r>
              <w:rPr>
                <w:b w:val="0"/>
                <w:i w:val="0"/>
              </w:rPr>
              <w:br/>
            </w:r>
            <w:r>
              <w:rPr>
                <w:b/>
                <w:i w:val="0"/>
              </w:rPr>
              <w:t>Nguyễn Thế Trung</w:t>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