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1030-TTLB Thông tư liên bộ về việc thành lập và sử dụng quỹ trả nhuận bút của ngành sân khấu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CHÍNH-BỘ VĂN HOÁ</w:t>
            </w:r>
            <w:r>
              <w:br/>
            </w:r>
            <w:r>
              <w:rPr>
                <w:b w:val="0"/>
                <w:i w:val="0"/>
              </w:rPr>
              <w:t>---------</w:t>
            </w:r>
            <w:r>
              <w:br/>
            </w:r>
            <w:r>
              <w:br/>
            </w:r>
            <w:r>
              <w:rPr>
                <w:b w:val="0"/>
                <w:i w:val="0"/>
              </w:rPr>
              <w:br/>
            </w:r>
            <w:r>
              <w:rPr>
                <w:b w:val="0"/>
                <w:i w:val="0"/>
              </w:rPr>
              <w:t>Số: 1030-TTLB</w:t>
            </w:r>
          </w:p>
        </w:tc>
        <w:tc>
          <w:tcPr>
            <w:tcW w:type="dxa" w:w="4320"/>
          </w:tcPr>
          <w:p>
            <w:r>
              <w:rPr>
                <w:b w:val="0"/>
                <w:i w:val="0"/>
              </w:rPr>
              <w:br/>
            </w:r>
            <w:r>
              <w:rPr>
                <w:b/>
                <w:i w:val="0"/>
              </w:rPr>
              <w:t>VIỆT NAM DÂN CHỦ CỘNG HÒA</w:t>
            </w:r>
            <w:r>
              <w:br/>
            </w:r>
            <w:r>
              <w:rPr>
                <w:b/>
                <w:i w:val="0"/>
              </w:rPr>
              <w:br/>
              <w:t xml:space="preserve">          Độc lập - Tự do - Hạnh phúc</w:t>
            </w:r>
            <w:r>
              <w:br/>
            </w:r>
            <w:r>
              <w:rPr>
                <w:b w:val="0"/>
                <w:i w:val="0"/>
              </w:rPr>
              <w:t>-----------------------------------</w:t>
            </w:r>
            <w:r>
              <w:rPr>
                <w:b w:val="0"/>
                <w:i w:val="0"/>
              </w:rPr>
              <w:br/>
            </w:r>
            <w:r>
              <w:rPr>
                <w:b w:val="0"/>
                <w:i/>
              </w:rPr>
              <w:t xml:space="preserve">Hà Nội, ngày 04 tháng 12 năm 1961 </w:t>
            </w:r>
          </w:p>
        </w:tc>
      </w:tr>
    </w:tbl>
    <w:p>
      <w:pPr>
        <w:jc w:val="center"/>
      </w:pPr>
      <w:r>
        <w:rPr>
          <w:b w:val="0"/>
          <w:i w:val="0"/>
        </w:rPr>
        <w:t xml:space="preserve"> </w:t>
      </w:r>
      <w:r>
        <w:rPr>
          <w:b/>
          <w:i w:val="0"/>
        </w:rPr>
        <w:t>THÔNG TƯ LIÊN BỘ</w:t>
      </w:r>
      <w:r>
        <w:br/>
      </w:r>
      <w:r>
        <w:rPr>
          <w:b/>
          <w:i w:val="0"/>
        </w:rPr>
        <w:t>Về việc thành lập và sử dụng quỹ trả nhuận bút của ngành sân khấu</w:t>
      </w:r>
    </w:p>
    <w:p>
      <w:pPr>
        <w:jc w:val="both"/>
      </w:pPr>
      <w:r>
        <w:rPr>
          <w:b w:val="0"/>
          <w:i w:val="0"/>
        </w:rPr>
        <w:t>Thi hành điểm 6 trong nghị quyết của Hội đồng Chính phủ ngày 24-2-1961 về chế độ nhuận bút trả cho những tác phẩm văn học, nghệ thuật, khoa học, kỹ thuật, Liên bộ Văn hóa – Tài chính hướng dẫn việc thành lập và sử dụng quỹ trả nhuận bút của ngành sân khấu như dưới đây:</w:t>
      </w:r>
    </w:p>
    <w:p>
      <w:pPr>
        <w:jc w:val="both"/>
      </w:pPr>
      <w:r>
        <w:rPr>
          <w:b w:val="0"/>
          <w:i w:val="0"/>
        </w:rPr>
        <w:t>1. Mục đích thành lập quỹ trả nhuận bút của ngành sân khấu là bảo đảm việc trả tiền nhuận bút cho tác giả nhằm khuyến khích tác giả nâng cao chất lượng tác phẩm và tạo điều kiện thuận lợi để tác giả sáng tác tốt.</w:t>
      </w:r>
    </w:p>
    <w:p>
      <w:pPr>
        <w:jc w:val="both"/>
      </w:pPr>
      <w:r>
        <w:rPr>
          <w:b w:val="0"/>
          <w:i w:val="0"/>
        </w:rPr>
        <w:t>2. Quỹ của trung ương (do Bộ Văn hóa quản lý) xây dựng trên cơ sở trích đồng loạt một tỷ lệ là 8% số tiền doanh thu biểu diễn của các đòan văn công trung ương.</w:t>
      </w:r>
    </w:p>
    <w:p>
      <w:pPr>
        <w:jc w:val="both"/>
      </w:pPr>
      <w:r>
        <w:rPr>
          <w:b w:val="0"/>
          <w:i w:val="0"/>
        </w:rPr>
        <w:t>- Quỹ của địa phương (do Sở, Ty Văn hóa quản lý ) xây dựng trên cơ sở trích một tỷ lệ là 5% hoặc 6% hoặc 7% số tiền doanh thu biểu diễn của các đội văn công và các đoàn kịch dân doanh của địa phương.</w:t>
      </w:r>
    </w:p>
    <w:p>
      <w:pPr>
        <w:jc w:val="both"/>
      </w:pPr>
      <w:r>
        <w:rPr>
          <w:b w:val="0"/>
          <w:i w:val="0"/>
        </w:rPr>
        <w:t>Tiền quỹ phải gửi ở Ngân hàng Nhà nước vào một tài khoản riêng. Cơ quan Tài chính có quyền giám đốc việc sử dụng quỹ.</w:t>
      </w:r>
    </w:p>
    <w:p>
      <w:pPr>
        <w:jc w:val="both"/>
      </w:pPr>
      <w:r>
        <w:rPr>
          <w:b w:val="0"/>
          <w:i w:val="0"/>
        </w:rPr>
        <w:t>3. Trong bước đầu xây dựng quỹ trả nhuận bút, nếu cần thiết ngân sách Nhà nước có thể ứng trước một số tiền và thu hồi sau.</w:t>
      </w:r>
    </w:p>
    <w:p>
      <w:pPr>
        <w:jc w:val="both"/>
      </w:pPr>
      <w:r>
        <w:rPr>
          <w:b w:val="0"/>
          <w:i w:val="0"/>
        </w:rPr>
        <w:t>Số tiền ứng trước sẽ do Bộ Văn hóa hoặc Sở, Ty Văn hóa đề nghị và ghi vào dự toán của cơ quan đó.</w:t>
      </w:r>
    </w:p>
    <w:p>
      <w:pPr>
        <w:jc w:val="both"/>
      </w:pPr>
      <w:r>
        <w:rPr>
          <w:b w:val="0"/>
          <w:i w:val="0"/>
        </w:rPr>
        <w:t>4. Bộ Văn hóa và các Sở, Ty Văn hóa có nhiệm vụ bảo đảm việc trích doanh thu để nộp kịp thời vào quỹ trả nhuận bút, bảo đảm trả tiền nhuận bút cho tác giả theo đúng chế độ quy định và hoàn trả ngân sách Nhà nước số tiền ứng trước.</w:t>
      </w:r>
    </w:p>
    <w:p>
      <w:pPr>
        <w:jc w:val="both"/>
      </w:pPr>
      <w:r>
        <w:rPr>
          <w:b w:val="0"/>
          <w:i w:val="0"/>
        </w:rPr>
        <w:t>5. Hàng tháng, Bộ Văn hóa và các Sở, Ty Văn hóa phải báo cáo cho cơ quan tài chính cung cấp tình hình thu chi và quỹ trả nhuận bút của ngành sân khấu.</w:t>
      </w:r>
    </w:p>
    <w:p>
      <w:pPr>
        <w:jc w:val="both"/>
      </w:pPr>
      <w:r>
        <w:rPr>
          <w:b w:val="0"/>
          <w:i w:val="0"/>
        </w:rPr>
        <w:t>Báo cáo tháng trước phải gửi đúng vào ngày mồng 5 tháng sau.</w:t>
      </w:r>
    </w:p>
    <w:p>
      <w:pPr>
        <w:jc w:val="both"/>
      </w:pPr>
      <w:r>
        <w:rPr>
          <w:b w:val="0"/>
          <w:i w:val="0"/>
        </w:rPr>
        <w:t>6. Bộ Văn hóa và các Sở, Ty Văn hóa phải giữ sổ sách kế toán để ghi:</w:t>
      </w:r>
    </w:p>
    <w:p>
      <w:pPr>
        <w:jc w:val="both"/>
      </w:pPr>
      <w:r>
        <w:rPr>
          <w:b w:val="0"/>
          <w:i w:val="0"/>
        </w:rPr>
        <w:t>- Số tiền trích doanh thu để nộp vào quỹ trả nhuận bút theo từng buổi biểu diễn.</w:t>
      </w:r>
    </w:p>
    <w:p>
      <w:pPr>
        <w:jc w:val="both"/>
      </w:pPr>
      <w:r>
        <w:rPr>
          <w:b w:val="0"/>
          <w:i w:val="0"/>
        </w:rPr>
        <w:t>- Số tiền nhuận bút trả cho tác giả (nhuận bút cơ bản và nhuận bút theo buổi biểu diễn).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TÀI CHÍNH</w:t>
            </w:r>
            <w:r>
              <w:br/>
            </w:r>
            <w:r>
              <w:rPr>
                <w:b/>
                <w:i w:val="0"/>
              </w:rPr>
              <w:br/>
              <w:t xml:space="preserve">          THỬ TRƯỞNG</w:t>
            </w:r>
            <w:r>
              <w:br/>
            </w:r>
            <w:r>
              <w:rPr>
                <w:b/>
                <w:i/>
              </w:rPr>
              <w:t>(Đã ký)</w:t>
            </w:r>
            <w:r>
              <w:rPr>
                <w:b w:val="0"/>
                <w:i w:val="0"/>
              </w:rPr>
              <w:br/>
            </w:r>
            <w:r>
              <w:rPr>
                <w:b/>
                <w:i w:val="0"/>
              </w:rPr>
              <w:t>Trịnh Văn Bính</w:t>
            </w:r>
          </w:p>
        </w:tc>
        <w:tc>
          <w:tcPr>
            <w:tcW w:type="dxa" w:w="4320"/>
          </w:tcPr>
          <w:p>
            <w:r>
              <w:rPr>
                <w:b w:val="0"/>
                <w:i w:val="0"/>
              </w:rPr>
              <w:br/>
            </w:r>
            <w:r>
              <w:rPr>
                <w:b/>
                <w:i w:val="0"/>
              </w:rPr>
              <w:t>KT. BỘ TRƯỞNG BỘ VĂN HÓA</w:t>
            </w:r>
            <w:r>
              <w:br/>
            </w:r>
            <w:r>
              <w:rPr>
                <w:b/>
                <w:i w:val="0"/>
              </w:rPr>
              <w:br/>
              <w:t xml:space="preserve">          THỨ TRƯỞNG</w:t>
            </w:r>
            <w:r>
              <w:br/>
            </w:r>
            <w:r>
              <w:rPr>
                <w:b/>
                <w:i/>
              </w:rPr>
              <w:t>(Đã ký)</w:t>
            </w:r>
            <w:r>
              <w:rPr>
                <w:b w:val="0"/>
                <w:i w:val="0"/>
              </w:rPr>
              <w:br/>
            </w:r>
            <w:r>
              <w:rPr>
                <w:b/>
                <w:i w:val="0"/>
              </w:rPr>
              <w:t>Nguyễn Đức Quỳ</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