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103/2003/QĐ-BCN Về việc sáp nhập Công ty Thủy tinh Phả Lại vào Công ty Bóng đèn Điện Quang và đổi tên Công ty Thủy tinh Phả Lại thành Xí nghiệp Thủy tinh Phả Lại</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103/2003/QĐ-BCN</w:t>
        <w:br/>
        <w:t xml:space="preserve">     </w:t>
      </w:r>
      <w:r>
        <w:rPr>
          <w:b w:val="0"/>
          <w:i w:val="0"/>
        </w:rPr>
        <w:br/>
      </w:r>
      <w:r>
        <w:rPr>
          <w:b w:val="0"/>
          <w:i/>
        </w:rPr>
        <w:br/>
        <w:t xml:space="preserve">      Hà Nội, Ngày 24 tháng 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103/2003/QĐ-BCN</w:t>
        <w:br/>
        <w:t xml:space="preserve">     </w:t>
      </w:r>
      <w:r>
        <w:rPr>
          <w:b w:val="0"/>
          <w:i w:val="0"/>
        </w:rPr>
        <w:br/>
      </w:r>
      <w:r>
        <w:rPr>
          <w:b w:val="0"/>
          <w:i/>
        </w:rPr>
        <w:br/>
        <w:t xml:space="preserve">      Hà Nội, Ngày 24 tháng 6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103/2003/QĐ-BCN</w:t>
        <w:br/>
        <w:t xml:space="preserve">     </w:t>
      </w:r>
      <w:r>
        <w:rPr>
          <w:b w:val="0"/>
          <w:i w:val="0"/>
        </w:rPr>
        <w:br/>
      </w:r>
      <w:r>
        <w:rPr>
          <w:b w:val="0"/>
          <w:i/>
        </w:rPr>
        <w:br/>
        <w:t xml:space="preserve">      Hà Nội, Ngày 24 tháng 6 năm 2003</w:t>
        <w:br/>
        <w:t xml:space="preserve">     </w:t>
      </w:r>
      <w:r>
        <w:rPr>
          <w:b w:val="0"/>
          <w:i w:val="0"/>
        </w:rPr>
        <w:br/>
      </w:r>
    </w:p>
    <w:p>
      <w:pPr>
        <w:jc w:val="center"/>
      </w:pPr>
      <w:r>
        <w:rPr>
          <w:b w:val="0"/>
          <w:i w:val="0"/>
        </w:rPr>
        <w:br/>
        <w:t xml:space="preserve">      Số: 103/2003/QĐ-BCN</w:t>
        <w:br/>
        <w:t xml:space="preserve">     </w:t>
      </w:r>
    </w:p>
    <w:p>
      <w:pPr>
        <w:jc w:val="center"/>
      </w:pPr>
      <w:r>
        <w:rPr>
          <w:b w:val="0"/>
          <w:i w:val="0"/>
        </w:rPr>
        <w:br/>
        <w:t xml:space="preserve">      Hà Nội, Ngày 24 tháng 6 năm 2003</w:t>
        <w:br/>
        <w:t xml:space="preserve">     </w:t>
      </w:r>
    </w:p>
    <w:p>
      <w:r>
        <w:rPr>
          <w:b/>
          <w:i w:val="0"/>
        </w:rPr>
        <w:t xml:space="preserve">QUYẾT ĐỊNH </w:t>
      </w:r>
    </w:p>
    <w:p>
      <w:r>
        <w:rPr>
          <w:b/>
          <w:i w:val="0"/>
        </w:rPr>
        <w:t xml:space="preserve">Về việc sáp nhập Công ty Thủy tinh Phả Lại vào Công ty Bóng đèn Điện Quang và đổi tên Công ty </w:t>
      </w:r>
    </w:p>
    <w:p>
      <w:r>
        <w:rPr>
          <w:b/>
          <w:i w:val="0"/>
        </w:rPr>
        <w:t>Thủy tinh Phả Lại thành Xí nghiệp Thủy tinh Phả Lại</w:t>
      </w:r>
    </w:p>
    <w:p>
      <w:r>
        <w:rPr>
          <w:b/>
          <w:i w:val="0"/>
        </w:rPr>
        <w:t>--------------------------</w:t>
      </w:r>
    </w:p>
    <w:p>
      <w:r>
        <w:rPr>
          <w:b/>
          <w:i w:val="0"/>
        </w:rPr>
        <w:t>BỘ TRƯỞNG BỘ CÔNG NGHIỆP</w:t>
      </w:r>
    </w:p>
    <w:p>
      <w:pPr>
        <w:jc w:val="both"/>
      </w:pPr>
      <w:r>
        <w:rPr>
          <w:b w:val="0"/>
          <w:i/>
        </w:rPr>
        <w:t xml:space="preserve">          Căn cứ Nghị định số 74/CP ngày 01 tháng 11 năm 1995 của Chính phủ về chức năng, nhiệm vụ, quyền hạn và tổ chức bộ máy Bộ Công nghiệp;</w:t>
      </w:r>
    </w:p>
    <w:p>
      <w:pPr>
        <w:jc w:val="both"/>
      </w:pPr>
      <w:r>
        <w:rPr>
          <w:b w:val="0"/>
          <w:i/>
        </w:rPr>
        <w:t xml:space="preserve">          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pPr>
        <w:jc w:val="both"/>
      </w:pPr>
      <w:r>
        <w:rPr>
          <w:b w:val="0"/>
          <w:i/>
        </w:rPr>
        <w:t xml:space="preserve">          Xét đề nghị của Công ty Bóng đèn Điện Quang tại Công văn số 925/CV-ĐQ-TGĐ ngày 09 tháng 6 năm 2003 và đề nghị của Công ty Thuỷ tinh Phả Lại tại Công văn số 66/CV-TCHC ngày 16 tháng 5 năm 2003;</w:t>
      </w:r>
    </w:p>
    <w:p>
      <w:pPr>
        <w:jc w:val="both"/>
      </w:pPr>
      <w:r>
        <w:rPr>
          <w:b w:val="0"/>
          <w:i/>
        </w:rPr>
        <w:t xml:space="preserve">          Theo đề nghị của Vụ trưởng Vụ Tổ chức - Cán bộ,</w:t>
      </w:r>
    </w:p>
    <w:p>
      <w:r>
        <w:rPr>
          <w:b/>
          <w:i w:val="0"/>
        </w:rPr>
        <w:t>QUYẾT ĐỊNH:</w:t>
      </w:r>
    </w:p>
    <w:p>
      <w:pPr>
        <w:jc w:val="both"/>
      </w:pPr>
      <w:r>
        <w:rPr>
          <w:b/>
          <w:i/>
        </w:rPr>
        <w:t xml:space="preserve">          </w:t>
      </w:r>
      <w:r>
        <w:rPr>
          <w:b/>
          <w:i w:val="0"/>
        </w:rPr>
        <w:t xml:space="preserve">Điều 1. </w:t>
      </w:r>
      <w:r>
        <w:rPr>
          <w:b w:val="0"/>
          <w:i w:val="0"/>
        </w:rPr>
        <w:t>Sáp nhập Công ty Thuỷ tinh Phả Lại vào Công ty Bóng đèn Điện Quang và đổi tên Công ty Thuỷ tinh Phả Lại thành Xí nghiệp Thuỷ tinh Phả Lại.</w:t>
      </w:r>
    </w:p>
    <w:p>
      <w:pPr>
        <w:jc w:val="both"/>
      </w:pPr>
      <w:r>
        <w:rPr>
          <w:b w:val="0"/>
          <w:i/>
        </w:rPr>
        <w:t xml:space="preserve">          </w:t>
      </w:r>
      <w:r>
        <w:rPr>
          <w:b w:val="0"/>
          <w:i w:val="0"/>
        </w:rPr>
        <w:t>Xí nghiệp Thuỷ tinh Phả Lại là đơn vị hạch toán phụ thuộc Công ty Bóng đèn Điện Quang, có con dấu và tài khoản tại ngân hàng để hoạt động và giao dịch theo Quy chế tổ chức và hoạt động của Xí nghiệp do Tổng giám đốc Công ty Bóng đèn Điện Quang phê duyệt và các quy định của pháp luật.</w:t>
      </w:r>
    </w:p>
    <w:p>
      <w:pPr>
        <w:jc w:val="both"/>
      </w:pPr>
      <w:r>
        <w:rPr>
          <w:b/>
          <w:i/>
        </w:rPr>
        <w:t xml:space="preserve">          </w:t>
      </w:r>
      <w:r>
        <w:rPr>
          <w:b/>
          <w:i w:val="0"/>
        </w:rPr>
        <w:t xml:space="preserve">Điều 2. </w:t>
      </w:r>
      <w:r>
        <w:rPr>
          <w:b w:val="0"/>
          <w:i w:val="0"/>
        </w:rPr>
        <w:t>Giao Tổng giám đốc Công ty Bóng đèn Điện Quang tổ chức tiếp nhận Công ty Thuỷ tinh Phả Lại theo đúng quy định của Nhà nước và xây dựng Phương án xử lý tài chính, giải quyết lao động dôi dư báo cáo Bộ Công nghiệp và các cơ quan có thẩm quyền giải quyết.</w:t>
      </w:r>
    </w:p>
    <w:p>
      <w:pPr>
        <w:jc w:val="both"/>
      </w:pPr>
      <w:r>
        <w:rPr>
          <w:b/>
          <w:i/>
        </w:rPr>
        <w:t xml:space="preserve">          </w:t>
      </w:r>
      <w:r>
        <w:rPr>
          <w:b/>
          <w:i w:val="0"/>
        </w:rPr>
        <w:t xml:space="preserve">Điều 3. </w:t>
      </w:r>
      <w:r>
        <w:rPr>
          <w:b w:val="0"/>
          <w:i w:val="0"/>
        </w:rPr>
        <w:t>Quyết định này có hiệu lực thi hành sau 15 ngày, kể từ ngày đăng Công báo.</w:t>
      </w:r>
    </w:p>
    <w:p>
      <w:pPr>
        <w:jc w:val="both"/>
      </w:pPr>
      <w:r>
        <w:rPr>
          <w:b w:val="0"/>
          <w:i/>
        </w:rPr>
        <w:t xml:space="preserve">          </w:t>
      </w:r>
      <w:r>
        <w:rPr>
          <w:b w:val="0"/>
          <w:i w:val="0"/>
        </w:rPr>
        <w:t>Chánh Văn phòng Bộ, Chánh Thanh tra Bộ, các Vụ trưởng, Cục trưởng thuộc Bộ, Tổng giám đốc Công ty Bóng đèn Điện Quang và Giám đốc Công ty Thuỷ tinh Phả Lại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