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103/UB-CT về việc quản lý dịch vụ thuốc bảo vệ thực vật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BẾN TRE</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i w:val="0"/>
        </w:rPr>
        <w:t>“Về việc quản lý dịch vụ thuốc bảo vệ thực vật”</w:t>
      </w:r>
    </w:p>
    <w:p>
      <w:pPr>
        <w:jc w:val="both"/>
      </w:pPr>
      <w:r>
        <w:rPr>
          <w:b w:val="0"/>
          <w:i w:val="0"/>
        </w:rPr>
        <w:t>Thời gian gần đây, tình hình buôn bán, mặt hàng thuốc bảo vệ thực vật trên địa bàn tỉnh ta rất phức tạp, nhiều loại thuốc không rõ nguồn gốc, xuất hiện 1 số thuốc giả, không đảm bảo chất lượng. Mặt khác, do không nắm được phương pháp tàng trữ và sử dụng thuốc nên ảnh hưởng rất nghiêm trọng đến sức khỏe con người, môi trường sống và cho sản xuất.</w:t>
      </w:r>
    </w:p>
    <w:p>
      <w:pPr>
        <w:jc w:val="both"/>
      </w:pPr>
      <w:r>
        <w:rPr>
          <w:b w:val="0"/>
          <w:i w:val="0"/>
        </w:rPr>
        <w:t>Nhằm khắc phục tình trạng trên đây, từng bước đưa công tác dịch vụ, quản lý thuốc bảo vệ thực vật vào nề nếp. Căn cứ vào Công văn số 787/NN/BVTV-CV ngày 31/5/1989 của Bộ Nông nghiệp và Công nghiệp thực phẩm về việc quản lý dịch vụ thuốc bảo vệ thực vật. Thường trực Uỷ ban nhân dân tỉnh chỉ đạo cho các ngành, các cấp có liên quan thực hiện 1 số vấn đề sau đây:</w:t>
      </w:r>
    </w:p>
    <w:p>
      <w:pPr>
        <w:jc w:val="both"/>
      </w:pPr>
      <w:r>
        <w:rPr>
          <w:b w:val="0"/>
          <w:i w:val="0"/>
        </w:rPr>
        <w:t>1. Từ nay trở đi, giao cho Trung tâm dịch vụ kỹ thuật cây trồng tỉnh và các Công ty Dịch vụ kỹ thuật cây trồng huyện, thị thống nhất quản lý việc cung ứng, dịch vụ, kinh doanh thuốc bảo vệ thực vật và chịu trách nhiệm tổ chức các cửa hàng, màng lưới đại lý bán lẻ trong toàn tỉnh, đồng thời hướng dẫn nông dân cách bảo quản và sử dụng thuốc 1 cách hợp lý, đạt hiệu quả cao trong việc bảo vệ mùa màng, bảo vệ sức khỏe người và môi trường.</w:t>
      </w:r>
    </w:p>
    <w:p>
      <w:pPr>
        <w:jc w:val="both"/>
      </w:pPr>
      <w:r>
        <w:rPr>
          <w:b w:val="0"/>
          <w:i w:val="0"/>
        </w:rPr>
        <w:t>2. Nghiêm cấm tư thương và các tổ chức không có chức năng và chuyên môn kinh doanh loại vật tư đặc biệt này. Các ngành, các địa phương có nhu cầu trao đổi hoặc nhập vật tư bảo vệ thực vật phải được sự đồng ý của trung tâm dịch vụ kỹ thuật cây trồng tỉnh.</w:t>
      </w:r>
    </w:p>
    <w:p>
      <w:pPr>
        <w:jc w:val="both"/>
      </w:pPr>
      <w:r>
        <w:rPr>
          <w:b w:val="0"/>
          <w:i w:val="0"/>
        </w:rPr>
        <w:t>3. Trung tâm dịch vụ kỹ thuật cây trồng có trách nhiệm thường xuyên kiểm tra chất lượng, chủng loại thuốc bán cho nông dân. Đào tạo cán bộ kỹ thuật viên cho các cửa hàng, địa lý và hướng dẫn cụ thể việc thực hiện quy định của Cục trồng trọt - Bảo vệ thực vật đã ban hành.</w:t>
      </w:r>
    </w:p>
    <w:p>
      <w:pPr>
        <w:jc w:val="both"/>
      </w:pPr>
      <w:r>
        <w:rPr>
          <w:b w:val="0"/>
          <w:i w:val="0"/>
        </w:rPr>
        <w:t>4. Các cơ quan dịch vụ kỹ thuật cây trồng tỉnh, huyện, thị phối hợp chặt chẽ với các cơ quan y tế, quản lý thị trường, tư pháp, thuế CTN, công an kiểm tra chặt chẽ toàn bộ hoạt động dịch vụ thuốc bảo vệ thực vật trong toàn tỉnh, phát hiện và xử lý kịp thời các trường hợp vi phạm kinh doanh không có giấy phép, buôn bán hàng giả…</w:t>
      </w:r>
    </w:p>
    <w:p>
      <w:pPr>
        <w:jc w:val="both"/>
      </w:pPr>
      <w:r>
        <w:rPr>
          <w:b w:val="0"/>
          <w:i w:val="0"/>
        </w:rPr>
        <w:t>Nhận được Chỉ thị này, đề nghị các ngành các cấp tổ chức triển khai thực hiện nghiêm túc./.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br/>
            </w:r>
            <w:r>
              <w:rPr>
                <w:b/>
                <w:i w:val="0"/>
              </w:rPr>
              <w:br/>
              <w:t xml:space="preserve">                      KT. CHỦ TỊCH</w:t>
            </w:r>
            <w:r>
              <w:rPr>
                <w:b w:val="0"/>
                <w:i w:val="0"/>
              </w:rPr>
              <w:br/>
            </w:r>
            <w:r>
              <w:rPr>
                <w:b/>
                <w:i w:val="0"/>
              </w:rPr>
              <w:t xml:space="preserve">PHÓ CHỦ TỊCH </w:t>
            </w:r>
            <w:r>
              <w:rPr>
                <w:b w:val="0"/>
                <w:i w:val="0"/>
              </w:rPr>
              <w:br/>
            </w:r>
            <w:r>
              <w:rPr>
                <w:b w:val="0"/>
                <w:i/>
              </w:rPr>
              <w:t>(Đã ký)</w:t>
            </w:r>
            <w:r>
              <w:br/>
            </w:r>
            <w:r>
              <w:rPr>
                <w:b w:val="0"/>
                <w:i w:val="0"/>
              </w:rPr>
              <w:br/>
            </w:r>
            <w:r>
              <w:rPr>
                <w:b w:val="0"/>
                <w:i w:val="0"/>
              </w:rPr>
              <w:br/>
            </w:r>
            <w:r>
              <w:rPr>
                <w:b/>
                <w:i w:val="0"/>
              </w:rPr>
              <w:t>Trần Văn Ngẩu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