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104 TC/GTBĐ Hướng dẫn việc kinh phí tham gia tổ chức hàng không dân dụng quốc tế (Icao)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______________</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p>
        </w:tc>
      </w:tr>
    </w:tbl>
    <w:p>
      <w:r>
        <w:rPr>
          <w:b/>
          <w:i w:val="0"/>
        </w:rPr>
        <w:t>THÔNG TƯ</w:t>
      </w:r>
    </w:p>
    <w:p>
      <w:r>
        <w:rPr>
          <w:b/>
          <w:i w:val="0"/>
        </w:rPr>
        <w:t>Hướng dẫn việc kinh phí tham gia tổ chức hàng không</w:t>
      </w:r>
    </w:p>
    <w:p>
      <w:r>
        <w:rPr>
          <w:b/>
          <w:i w:val="0"/>
        </w:rPr>
        <w:t>dân dụng quốc tế (ICAO)</w:t>
      </w:r>
    </w:p>
    <w:p>
      <w:r>
        <w:rPr>
          <w:b/>
          <w:i w:val="0"/>
        </w:rPr>
        <w:t>_______________________</w:t>
      </w:r>
    </w:p>
    <w:p>
      <w:r>
        <w:rPr>
          <w:b w:val="0"/>
          <w:i/>
        </w:rPr>
        <w:t>Căn cứ vào Nghị định 242/HĐBT ngày 30/6/1992 của Hội đồng Bộ trưởng (nay là Chính phủ) về việc thành lập Cục Hàng không dân dụng Việt Nam</w:t>
      </w:r>
    </w:p>
    <w:p>
      <w:r>
        <w:rPr>
          <w:b w:val="0"/>
          <w:i/>
        </w:rPr>
        <w:t>Căn cứ vào Quyết định số 36/TTg ngày 6/2/1993 của Thủ tướng Chính phủ về việc ban hành điều lệ tổ chức và hoạt động của Cục Hàng không dân dụng Việt Nam.</w:t>
      </w:r>
    </w:p>
    <w:p>
      <w:r>
        <w:rPr>
          <w:b w:val="0"/>
          <w:i/>
        </w:rPr>
        <w:t>Theo đề nghị của Cục Hàng không dân dụng Việt Nam tại Công văn số 1017/CAAV ngày 25/5/1994.</w:t>
      </w:r>
    </w:p>
    <w:p>
      <w:r>
        <w:rPr>
          <w:b w:val="0"/>
          <w:i/>
        </w:rPr>
        <w:t>Để có nguồn kinh phí cho ngành Hàng không dân dụng Việt Nam tham gia tổ chức Hàng không dân dụng Quốc tế (viết tắt là ICAO). Bộ Tài chính hướng dẫn một số điểm sau:</w:t>
      </w:r>
    </w:p>
    <w:p>
      <w:r>
        <w:rPr>
          <w:b w:val="0"/>
          <w:i w:val="0"/>
        </w:rPr>
        <w:t>1. Kinh phí tham gia ICAO là khoản tiền dùng để đóng niên liễm, chi phí cho các đoàn đi tham dự kỳ họp hàng năm của ICAO Quốc tế và khu vực, do Cục Hàng không dân dụng Việt Nam thay mặt Nhà nước đóng góp và thực hiện. Khoản kinh phí này được huy động từ các đơn vị có hoạt động thuộc lĩnh vực Hàng không dân dụng, mà trong hoạt động của mình có liên quan đến hoạt động của  ICAO.</w:t>
      </w:r>
    </w:p>
    <w:p>
      <w:r>
        <w:rPr>
          <w:b w:val="0"/>
          <w:i w:val="0"/>
        </w:rPr>
        <w:t>2. Hàng năm, theo thông báo của ICAO, Cục Hàng không dân dụng Việt Nam dự trù kinh phí phải chi bao gồm các nội dung:</w:t>
      </w:r>
    </w:p>
    <w:p>
      <w:r>
        <w:rPr>
          <w:b w:val="0"/>
          <w:i w:val="0"/>
        </w:rPr>
        <w:t>+ Kinh phí để đóng niên liễm theo thông báo của ICAO.</w:t>
      </w:r>
    </w:p>
    <w:p>
      <w:r>
        <w:rPr>
          <w:b w:val="0"/>
          <w:i w:val="0"/>
        </w:rPr>
        <w:t>+ Chi phí cho các đoàn tham dự các kỳ họp của ICAO thế giới và khu vực Việc dự trù kinh phí phải theo đúng Thông tư số 44 TC/TCĐN ngày 21/5/1994 của Bộ Tài chính quy định chế độ phụ cấp cho cán bộ đi công tác ngắn hạn ở nước ngoài do nước ta đài thọ, và được Bộ Tài chính duyệt mức chi cho từng đoàn.</w:t>
      </w:r>
    </w:p>
    <w:p>
      <w:r>
        <w:rPr>
          <w:b w:val="0"/>
          <w:i w:val="0"/>
        </w:rPr>
        <w:t>3. Trên cơ sở tổng mức kinh phí đã dự trù được Bộ Giao thông vận tải và Bộ Tài chính duyệt, Cục Hàng không dân dụng Việt Nam phân bổ theo số tuyệt đối cho các đơn vị có liên quan trong ngành Hàng không theo tỷ lệ sau:</w:t>
      </w:r>
    </w:p>
    <w:p>
      <w:r>
        <w:rPr>
          <w:b w:val="0"/>
          <w:i w:val="0"/>
        </w:rPr>
        <w:t>+ Các Cụm cảng Hàng không sân bay 20% số kinh phí phải chi.</w:t>
      </w:r>
    </w:p>
    <w:p>
      <w:r>
        <w:rPr>
          <w:b w:val="0"/>
          <w:i w:val="0"/>
        </w:rPr>
        <w:t>+ Các Công ty kinh doanh vận tải Hàng không (bao gồm cả các Công ty liên doanh) 50% số kinh phí phải chi.</w:t>
      </w:r>
    </w:p>
    <w:p>
      <w:r>
        <w:rPr>
          <w:b w:val="0"/>
          <w:i w:val="0"/>
        </w:rPr>
        <w:t>+ Trung tâm quản lý bay dân dụng Việt Nam 30% số kinh phí phải chi.</w:t>
      </w:r>
    </w:p>
    <w:p>
      <w:r>
        <w:rPr>
          <w:b w:val="0"/>
          <w:i w:val="0"/>
        </w:rPr>
        <w:t>4. Căn cứ vào thông báo phân bổ kinh phí của Cục Hàng không dân dụng Việt Nam, các đơn vị có trách nhiệm trích nộp đầy đủ và kịp thời về Cục và được hạch toán khoản mục này vào giá thành (đối với các đơn vị sản xuất kinh doanh) hạch toán vào chi phí thường xuyên (đối với các đơn vị sự nghiệp kinh tế).</w:t>
      </w:r>
    </w:p>
    <w:p>
      <w:r>
        <w:rPr>
          <w:b w:val="0"/>
          <w:i w:val="0"/>
        </w:rPr>
        <w:t>5. Việc sử dụng và quyết toán khoản kinh phí tham gia ICAO theo đúng chế độ quản lý Tài chính hiện  hành. Trường hợp phát sinh thừa thiếu, Cục Hàng không dân dụng Việt Nam có trách nhiệm điều chỉnh vào số phân bổ năm sau.</w:t>
      </w:r>
    </w:p>
    <w:p>
      <w:r>
        <w:rPr>
          <w:b w:val="0"/>
          <w:i w:val="0"/>
        </w:rPr>
        <w:t>6. Khoản kinh phí tham gia ICAO được coi là khoản thu khác về nguồn kinh phí và là một mục chi hành chính sự nghiệp của Cục Hàng không dân dụng Việt Nam .</w:t>
      </w:r>
    </w:p>
    <w:p>
      <w:r>
        <w:rPr>
          <w:b w:val="0"/>
          <w:i w:val="0"/>
        </w:rPr>
        <w:t>7. Thông tư này có hiệu lực thi hành từ 01/01/1995, quá trình thực hiện, nếu có vướng mắc đề nghị phản ánh về Bộ Tài chính để nghiên cứu giải quyết./.</w:t>
      </w:r>
    </w:p>
    <w:p>
      <w:pPr>
        <w:jc w:val="center"/>
      </w:pPr>
      <w:r>
        <w:rPr>
          <w:b/>
          <w:i w:val="0"/>
        </w:rPr>
        <w:t xml:space="preserve">                                                                                                           KT. BỘ TRƯỞNG BỘ TÀI CHÍNH</w:t>
      </w:r>
    </w:p>
    <w:p>
      <w:pPr>
        <w:jc w:val="center"/>
      </w:pPr>
      <w:r>
        <w:rPr>
          <w:b/>
          <w:i w:val="0"/>
        </w:rPr>
        <w:t xml:space="preserve">                                                                                                           THỨ TRƯỞNG</w:t>
      </w:r>
    </w:p>
    <w:p>
      <w:pPr>
        <w:jc w:val="center"/>
      </w:pPr>
      <w:r>
        <w:rPr>
          <w:b/>
          <w:i/>
        </w:rPr>
        <w:t xml:space="preserve">                                                                                                        (Đã ký)</w:t>
      </w:r>
    </w:p>
    <w:p>
      <w:pPr>
        <w:jc w:val="center"/>
      </w:pPr>
      <w:r>
        <w:rPr>
          <w:b w:val="0"/>
          <w:i/>
        </w:rPr>
        <w:t xml:space="preserve">                                                                                 </w:t>
      </w:r>
      <w:r>
        <w:rPr>
          <w:b/>
          <w:i w:val="0"/>
        </w:rPr>
        <w:t>Phạm Văn Trọng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