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10/1997/CT-UB Về việc lập thủ tục thuê đất và nộp tiền thuê đất của các tổ chức trong nước được nhà nước cho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 CỦA CHỦ TỊCH UBND TỈNH PHÚ THỌ</w:t>
      </w:r>
    </w:p>
    <w:p>
      <w:pPr>
        <w:jc w:val="center"/>
      </w:pPr>
      <w:r>
        <w:rPr>
          <w:b/>
          <w:i/>
        </w:rPr>
        <w:t>Về việc lập thủ tục thuê đất và nộp tiền thuê đất</w:t>
      </w:r>
    </w:p>
    <w:p>
      <w:pPr>
        <w:jc w:val="center"/>
      </w:pPr>
      <w:r>
        <w:rPr>
          <w:b/>
          <w:i/>
        </w:rPr>
        <w:t>của các tổ chức trong nước được nhà nước cho thuê đất.</w:t>
      </w:r>
    </w:p>
    <w:p>
      <w:r>
        <w:rPr>
          <w:b w:val="0"/>
          <w:i w:val="0"/>
        </w:rPr>
        <w:t xml:space="preserve"> Theo báo cáo của Ban chỉ đạo thực hiện Chỉ thị 245/TTg của tỉnh, sau hơn 8 tháng thực hiện kế hoạch 1178/HC ngày 26-6-1996 và Quyết định 1288/QĐ-UB ngày 4-7-1996 của UBND tỉnh, toàn tỉnh Phú Thọ đã có 3608/3620 tổ chức sử dụng đất trên địa bàn tỉnh đã tiến hành kê khai tình hình sử dụng đất với diện tích 2.545,44 ha, có 7 tổ chức đã ký hợp đồng thuê đất với Sở Địa chính (các tổ chức được giao đất mới). Song, kết quả thu được trên đây mới chỉ là bước đầu, còn hầu hết các tổ chức được Nhà nước giao đất trước đây nay thuộc đối tượng phải thuê đất đều chưa lập thủ tục thuê đất và nộp tiền thuê đất theo quy định.</w:t>
      </w:r>
    </w:p>
    <w:p>
      <w:pPr>
        <w:jc w:val="both"/>
      </w:pPr>
      <w:r>
        <w:rPr>
          <w:b w:val="0"/>
          <w:i w:val="0"/>
        </w:rPr>
        <w:t>Nhằm đưa công tác sử dụng đất của các tổ chức nói chung, đặc biệt là các tổ chức thuộc đối tượng thuê đất đi vào kỷ cương, nền nếp theo Chỉ thị 245/TTg ngày 22-4-1996 của Thủ tướng Chính phủ và Nghị định 85/CP ngày 17-12-1996 của Chính phủ; Chủ tịch UBND tỉnh chỉ thị Chủ tịch UBND các huyện, thành, thị, Thủ trưởng các Sở, ban, ngành chỉ đạo tốt một số công việc sau đây:</w:t>
      </w:r>
    </w:p>
    <w:p>
      <w:pPr>
        <w:jc w:val="both"/>
      </w:pPr>
      <w:r>
        <w:rPr>
          <w:b w:val="0"/>
          <w:i w:val="0"/>
        </w:rPr>
        <w:t>1. Trên cơ sở kết quả kê khai tình hình sử dụng đất của các tổ chức theo chỉ thị 245/TTg, yêu cầu Thủ trưởng các tổ chức sử dụng đất thuộc đối tượng thuê đất gồm: Doanh nghiệp Nhà nước (kể cả các doanh nghiệp thuộc Đảng, đoàn thể và các tổ chức xã hội, doanh nghiệp thuộc an ninh, quốc phòng), các Công ty cổ phần, Công ty trách nhiệm hữu hạn, Doanh nghiệp tư nhân và tổ chức kinh tế tập thể được Nhà nước giao đất trước đây, hiện nay chưa làm thủ tục thuê đất phải lập thủ tục thuê đất trình UBND tỉnh phê duyệt và nộp tiền thuê đất cho Nhà nước. Nếu tổ chức sử dụng đất thuộc đối tượng nói trên không có nhu cầu sử dụng một phần hay toàn bộ diện tích đất đang sử dụng phải làm thủ tục trả lại đất cho Nhà nước, không tự giác làm thủ tục trả lại thì tổ chức cưỡng chế.</w:t>
      </w:r>
    </w:p>
    <w:p>
      <w:pPr>
        <w:jc w:val="both"/>
      </w:pPr>
      <w:r>
        <w:rPr>
          <w:b w:val="0"/>
          <w:i w:val="0"/>
        </w:rPr>
        <w:t>2. Trong quá trình lập thủ tục thuê đất, các tổ chức sử dụng đất phải quán triệt nguyên tắc:</w:t>
      </w:r>
    </w:p>
    <w:p>
      <w:pPr>
        <w:jc w:val="both"/>
      </w:pPr>
      <w:r>
        <w:rPr>
          <w:b w:val="0"/>
          <w:i w:val="0"/>
        </w:rPr>
        <w:t>- Sử dụng đất tiết kiệm và có hiệu quả kinh tế cao nhất.</w:t>
      </w:r>
    </w:p>
    <w:p>
      <w:pPr>
        <w:jc w:val="both"/>
      </w:pPr>
      <w:r>
        <w:rPr>
          <w:b w:val="0"/>
          <w:i w:val="0"/>
        </w:rPr>
        <w:t>- Nộp đầy dủ tiền thuê đất vào ngân sách Nhà nước đúng thời hạn quy định.</w:t>
      </w:r>
    </w:p>
    <w:p>
      <w:pPr>
        <w:jc w:val="both"/>
      </w:pPr>
      <w:r>
        <w:rPr>
          <w:b w:val="0"/>
          <w:i w:val="0"/>
        </w:rPr>
        <w:t>- Nghiêm cấm việc thay đổi mục đích sử dụng đất, chia cho cán bộ, công nhân viên làm nhà ở, cho thuê, cho mượn (trừ trường hợp quy định tạm khoản 3 điều 11 và khoản 4 điều 13 Nghị định 85/CP ngày 17-12-1996).</w:t>
      </w:r>
    </w:p>
    <w:p>
      <w:pPr>
        <w:jc w:val="both"/>
      </w:pPr>
      <w:r>
        <w:rPr>
          <w:b w:val="0"/>
          <w:i w:val="0"/>
        </w:rPr>
        <w:t>- Nghiêm cấm huỷ hoại đất, làm biến dạng đất theo hướng có hại cho việc sử dụng sau này.</w:t>
      </w:r>
    </w:p>
    <w:p>
      <w:pPr>
        <w:jc w:val="both"/>
      </w:pPr>
      <w:r>
        <w:rPr>
          <w:b w:val="0"/>
          <w:i w:val="0"/>
        </w:rPr>
        <w:t>3. Chủ tịch UBND các huyện, thành, thị chịu trách nhiệm chỉ đạo các phòng ban chức năng của huyện, chính quyền cơ sở đôn đốc các tổ chức sử dụng đất thuộc đối tượng thuê đất phải làm thủ tục thuê đất xong trong quý II-1997. Đồng thời kiểm tra xử lý những tổ chức sử dụng đất không lập thủ tục thuê đất theo quy định của pháp luật.</w:t>
      </w:r>
    </w:p>
    <w:p>
      <w:pPr>
        <w:jc w:val="both"/>
      </w:pPr>
      <w:r>
        <w:rPr>
          <w:b w:val="0"/>
          <w:i w:val="0"/>
        </w:rPr>
        <w:t>- Sở Địa chính có trách nhiệm hướng dẫn trình tự, thủ tục lập hồ sơ thuê đất và phối hợp với các ngành chức năng: Sở Xây dựng, Sở Tài chính Vật giá, Cục thuế, UBND các huyện, thành, thị tăng cường kiểm tra, giám sát đôn đốc, phát hiện xử lý vi phạm tổng hợp báo cáo UBND tỉnh.</w:t>
      </w:r>
    </w:p>
    <w:p>
      <w:pPr>
        <w:jc w:val="both"/>
      </w:pPr>
      <w:r>
        <w:rPr>
          <w:b w:val="0"/>
          <w:i w:val="0"/>
        </w:rPr>
        <w:t>- Các cơ quan thông tin đại chúng theo chức năng nhiệm vụ được giao cần chủ động phối hợp với Sở Địa chính, UBND các huyện, thành, thị nắm bắt tình hình kịp thời, cổ vũ, động viên những đơn vị, cá nhân làm tốt, phê phán những đơn vị không chấp hành nghiêm chỉnh chủ trương của tỉnh và pháp luật của Nhà nước.</w:t>
      </w:r>
    </w:p>
    <w:p>
      <w:pPr>
        <w:jc w:val="both"/>
      </w:pPr>
      <w:r>
        <w:rPr>
          <w:b w:val="0"/>
          <w:i w:val="0"/>
        </w:rPr>
        <w:t>Yêu cầu Chủ tịch UBND các huyện, thành, thị, Thủ trưởng các Sở, ban, ngành liên quan phổ biến, quán triệt chỉ thị này đến cơ sở.</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Trần Nho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