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113/2003/QĐ-BCN Về việc chấm dứt hoạt động của Tổng công ty Nhựa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113/2003/QĐ-BCN</w:t>
      </w:r>
      <w:r>
        <w:rPr>
          <w:b w:val="0"/>
          <w:i w:val="0"/>
        </w:rPr>
        <w:br/>
      </w:r>
      <w:r>
        <w:rPr>
          <w:b w:val="0"/>
          <w:i w:val="0"/>
        </w:rPr>
        <w:br/>
      </w:r>
      <w:r>
        <w:rPr>
          <w:b w:val="0"/>
          <w:i/>
        </w:rPr>
        <w:br/>
      </w:r>
      <w:r>
        <w:rPr>
          <w:b w:val="0"/>
          <w:i/>
        </w:rPr>
        <w:t>Hà Nội, Ngày 01 tháng 7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113/2003/QĐ-BCN</w:t>
      </w:r>
      <w:r>
        <w:rPr>
          <w:b w:val="0"/>
          <w:i w:val="0"/>
        </w:rPr>
        <w:br/>
      </w:r>
      <w:r>
        <w:rPr>
          <w:b w:val="0"/>
          <w:i w:val="0"/>
        </w:rPr>
        <w:br/>
      </w:r>
      <w:r>
        <w:rPr>
          <w:b w:val="0"/>
          <w:i/>
        </w:rPr>
        <w:br/>
      </w:r>
      <w:r>
        <w:rPr>
          <w:b w:val="0"/>
          <w:i/>
        </w:rPr>
        <w:t>Hà Nội, Ngày 01 tháng 7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113/2003/QĐ-BCN</w:t>
      </w:r>
      <w:r>
        <w:rPr>
          <w:b w:val="0"/>
          <w:i w:val="0"/>
        </w:rPr>
        <w:br/>
      </w:r>
      <w:r>
        <w:rPr>
          <w:b w:val="0"/>
          <w:i w:val="0"/>
        </w:rPr>
        <w:br/>
      </w:r>
      <w:r>
        <w:rPr>
          <w:b w:val="0"/>
          <w:i/>
        </w:rPr>
        <w:br/>
      </w:r>
      <w:r>
        <w:rPr>
          <w:b w:val="0"/>
          <w:i/>
        </w:rPr>
        <w:t>Hà Nội, Ngày 01 tháng 7 năm 2003</w:t>
      </w:r>
      <w:r>
        <w:rPr>
          <w:b w:val="0"/>
          <w:i/>
        </w:rPr>
        <w:br/>
      </w:r>
      <w:r>
        <w:rPr>
          <w:b w:val="0"/>
          <w:i w:val="0"/>
        </w:rPr>
        <w:br/>
      </w:r>
    </w:p>
    <w:p>
      <w:pPr>
        <w:jc w:val="center"/>
      </w:pPr>
      <w:r>
        <w:rPr>
          <w:b w:val="0"/>
          <w:i w:val="0"/>
        </w:rPr>
        <w:br/>
      </w:r>
      <w:r>
        <w:rPr>
          <w:b w:val="0"/>
          <w:i w:val="0"/>
        </w:rPr>
        <w:t>Số: 113/2003/QĐ-BCN</w:t>
      </w:r>
      <w:r>
        <w:rPr>
          <w:b w:val="0"/>
          <w:i w:val="0"/>
        </w:rPr>
        <w:br/>
      </w:r>
    </w:p>
    <w:p>
      <w:pPr>
        <w:jc w:val="center"/>
      </w:pPr>
      <w:r>
        <w:rPr>
          <w:b w:val="0"/>
          <w:i w:val="0"/>
        </w:rPr>
        <w:br/>
      </w:r>
      <w:r>
        <w:rPr>
          <w:b w:val="0"/>
          <w:i w:val="0"/>
        </w:rPr>
        <w:t>Hà Nội, Ngày 01 tháng 7 năm 2003</w:t>
      </w:r>
      <w:r>
        <w:rPr>
          <w:b w:val="0"/>
          <w:i w:val="0"/>
        </w:rPr>
        <w:br/>
      </w:r>
    </w:p>
    <w:p>
      <w:pPr>
        <w:jc w:val="center"/>
      </w:pPr>
      <w:r>
        <w:rPr>
          <w:b/>
          <w:i w:val="0"/>
        </w:rPr>
        <w:t>QUYẾT ĐỊNH</w:t>
      </w:r>
    </w:p>
    <w:p>
      <w:pPr>
        <w:jc w:val="center"/>
      </w:pPr>
      <w:r>
        <w:rPr>
          <w:b/>
          <w:i w:val="0"/>
        </w:rPr>
        <w:t>Về việc chấm dứt hoạt động của Tổng công ty Nhựa Việt Nam</w:t>
      </w:r>
    </w:p>
    <w:p>
      <w:pPr>
        <w:jc w:val="center"/>
      </w:pPr>
      <w:r>
        <w:rPr>
          <w:b/>
          <w:i w:val="0"/>
        </w:rPr>
        <w:t>____________________</w:t>
      </w:r>
    </w:p>
    <w:p>
      <w:pPr>
        <w:jc w:val="center"/>
      </w:pPr>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Quyết định số 125/QĐ-TTg ngày 28 tháng 01 năm 2003 của Thủ tướng Chính phủ về việc phê duyệt Đề án tổng thể sắp xếp, đổi mới Tổng công ty nhà nước và doanh nghiệp nhà nước thuộc Bộ Công nghiệp giai đoạn 2003-2005;</w:t>
      </w:r>
    </w:p>
    <w:p>
      <w:r>
        <w:rPr>
          <w:b w:val="0"/>
          <w:i/>
        </w:rPr>
        <w:t>Căn cứ các Quyết định từ số 17/2003/QĐ-BCN đến số 25/2003/QĐ-BCN ngày 05 tháng 3 năm 2003 của Bộ trưởng Bộ Công nghiệp về việc chuyển các đơn vị thành viên hạch toán độc lập của Tổng công ty Nhựa Việt Nam về trực thuộc Bộ Công nghiệp và Quyết định số 72/2003/QĐ-BCN ngày 06 tháng 5 năm 2003 của Bộ trưởng Bộ Công nghiệp về việc thành lập Công ty Nhựa Việt Nam;</w:t>
      </w:r>
    </w:p>
    <w:p>
      <w:r>
        <w:rPr>
          <w:b w:val="0"/>
          <w:i/>
        </w:rPr>
        <w:t>Xét đề nghị của Hội đồng quản trị Tổng công ty Nhựa Việt Nam tại Văn bản số 229/BC-NVN-VP ngày 24 tháng 6 năm 2003 và Biên bản bàn giao ngày 24 tháng 6 năm 2003 giữa Tổng công ty Nhựa Việt Nam và Công ty Nhựa Việt Nam;</w:t>
      </w:r>
    </w:p>
    <w:p>
      <w:r>
        <w:rPr>
          <w:b w:val="0"/>
          <w:i/>
        </w:rPr>
        <w:t>Theo đề nghị của Vụ trưởng Vụ Tổ chức - Cán bộ,</w:t>
      </w:r>
    </w:p>
    <w:p>
      <w:pPr>
        <w:jc w:val="center"/>
      </w:pPr>
      <w:r>
        <w:rPr>
          <w:b/>
          <w:i w:val="0"/>
        </w:rPr>
        <w:t>QUYẾT ĐỊNH:</w:t>
      </w:r>
      <w:r>
        <w:rPr>
          <w:b w:val="0"/>
          <w:i w:val="0"/>
        </w:rPr>
        <w:t xml:space="preserve">  </w:t>
      </w:r>
    </w:p>
    <w:p>
      <w:r>
        <w:rPr>
          <w:b/>
          <w:i w:val="0"/>
        </w:rPr>
        <w:t xml:space="preserve">Điều 1. </w:t>
      </w:r>
      <w:r>
        <w:rPr>
          <w:b w:val="0"/>
          <w:i w:val="0"/>
        </w:rPr>
        <w:t>Chấm dứt hoạt động của Tổng công ty Nhựa Việt Nam.</w:t>
      </w:r>
    </w:p>
    <w:p>
      <w:pPr>
        <w:jc w:val="both"/>
      </w:pPr>
      <w:r>
        <w:rPr>
          <w:b/>
          <w:i w:val="0"/>
        </w:rPr>
        <w:t>Điều 2.</w:t>
      </w:r>
      <w:r>
        <w:rPr>
          <w:b w:val="0"/>
          <w:i w:val="0"/>
        </w:rPr>
        <w:t xml:space="preserve"> Hội đồng quản trị Tổng công ty Nhựa Việt Nam có trách nhiệm nộp lại con dấu của Tổng công ty theo quy định tại Nghị định số 58/2001/NĐ-CP ngày 24 tháng 8 năm 2001 của Chính phủ và thực hiện các thủ tục để chấm dứt hoạt động của Tổng công ty theo quy định của pháp luật.</w:t>
      </w:r>
    </w:p>
    <w:p>
      <w:r>
        <w:rPr>
          <w:b/>
          <w:i w:val="0"/>
        </w:rPr>
        <w:t xml:space="preserve">Điều 3. </w:t>
      </w:r>
      <w:r>
        <w:rPr>
          <w:b w:val="0"/>
          <w:i w:val="0"/>
        </w:rPr>
        <w:t>Quyết định này có hiệu lực thi hành sau 15 ngày, kể từ ngày đăng Công báo.</w:t>
      </w:r>
    </w:p>
    <w:p>
      <w:r>
        <w:rPr>
          <w:b w:val="0"/>
          <w:i w:val="0"/>
        </w:rPr>
        <w:t>Chánh Văn phòng Bộ, Chánh Thanh tra Bộ, các Vụ trưởng, Cục trưởng thuộc Bộ, Hội đồng quản trị và Tổng giám đốc Tổng công ty Nhựa Việt Nam chịu trách nhiệm thi hành Quyết định này./.</w:t>
      </w:r>
    </w:p>
    <w:p>
      <w:r>
        <w:rPr>
          <w:b w:val="0"/>
          <w:i w:val="0"/>
        </w:rPr>
        <w:br/>
      </w:r>
      <w:r>
        <w:rPr>
          <w:b w:val="0"/>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 bộ công nghiệp</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BỘ TRƯỞNG bộ công nghiệp</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 bộ công nghiệp</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