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114/2021/TT-BTC Bãi bỏ Thông tư số 146/2014/TT-BTC ngày 06/10/2014 của Bộ trưởng Bộ Tài chính hướng dẫn chế độ tài chính đối với công ty chứng khoán, công ty quản lý quỹ</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r>
        <w:br/>
      </w:r>
      <w:r>
        <w:rPr>
          <w:b/>
          <w:i w:val="0"/>
        </w:rPr>
        <w:br/>
        <w:t xml:space="preserve">      Bãi bỏ Thông tư số 146/2014/TT-BTC ngày 06/10/2014 của Bộ trưởng </w:t>
      </w:r>
    </w:p>
    <w:p>
      <w:pPr>
        <w:jc w:val="center"/>
      </w:pPr>
      <w:r>
        <w:rPr>
          <w:b/>
          <w:i w:val="0"/>
        </w:rPr>
        <w:t>Bộ Tài chính hướng dẫn chế độ tài chính đối với công ty chứng khoán,</w:t>
      </w:r>
      <w:r>
        <w:br/>
      </w:r>
      <w:r>
        <w:rPr>
          <w:b/>
          <w:i w:val="0"/>
        </w:rPr>
        <w:br/>
        <w:t xml:space="preserve">      công ty quản lý quỹ</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Nghị định số 34/2016/NĐ-CP ngày 14 tháng 5 năm 2016 của Chính phủ quy định chi tiết một số điều và biện pháp thi hành Luật Ban hành văn bản quy phạm pháp luật;</w:t>
      </w:r>
    </w:p>
    <w:p>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87/2017/NĐ-CP ngày 26 tháng 7 năm 2017 của Chính phủ quy định chức năng, nhiệm vụ, quyền hạn và cơ cấu tổ chức của Bộ Tài chính;</w:t>
      </w:r>
    </w:p>
    <w:p>
      <w:r>
        <w:rPr>
          <w:b w:val="0"/>
          <w:i/>
        </w:rPr>
        <w:t>Theo đề nghị của Vụ trưởng Vụ Tài chính các ngân hàng và tổ chức tài</w:t>
      </w:r>
    </w:p>
    <w:p>
      <w:r>
        <w:rPr>
          <w:b w:val="0"/>
          <w:i/>
        </w:rPr>
        <w:t>Bộ trưởng Bộ Tài chính ban hành Thông tư bãi bỏ Thông tư số 146/2014/TT-BTC ngày 06/10/2014 của Bộ trưởng Bộ Tài chính hướng dẫn chế độ tài chính đối với công ty chứng khoán, công ty quản lý quỹ.</w:t>
      </w:r>
    </w:p>
    <w:p>
      <w:r>
        <w:rPr>
          <w:b/>
          <w:i w:val="0"/>
        </w:rPr>
        <w:t>Điều 1. Bãi bỏ Thông tư</w:t>
      </w:r>
    </w:p>
    <w:p>
      <w:r>
        <w:rPr>
          <w:b w:val="0"/>
          <w:i w:val="0"/>
        </w:rPr>
        <w:t>Bãi bỏ toàn bộ Thông tư số 146/2014/TT-BTC ngày 06/10/2014 của Bộ trưởng Bộ Tài chính hướng dẫn chế độ tài chính đối với công ty chứng khoán, công ty quản lý quỹ.</w:t>
      </w:r>
    </w:p>
    <w:p>
      <w:r>
        <w:rPr>
          <w:b/>
          <w:i w:val="0"/>
        </w:rPr>
        <w:t>Điều 2. Điều khoản chuyển tiếp</w:t>
      </w:r>
    </w:p>
    <w:p>
      <w:r>
        <w:rPr>
          <w:b w:val="0"/>
          <w:i w:val="0"/>
        </w:rPr>
        <w:t>1. Công ty chứng khoán, công ty quản lý quỹ, chi nhánh công ty quản lý quỹ nước ngoài được cấp giấy phép thành lập và hoạt động tại Việt Nam tổ chức hoạt động, quản lý tài chính theo quy định tại Luật Chứng khoán năm 2019, Nghị định số 155/2020/NĐ-CP ngày 31/12/2020 của Chính phủ quy định chi tiết thi hành một số điều của Luật Chứng khoán, Thông tư số 121/2020/TT-BTC ngày 31/12/2020 của Bộ trưởng Bộ Tài chính quy định về hoạt động của công ty chứng khoán, Thông tư số 99/2020/TT-BTC ngày 16/11/2020 của Bộ trưởng Bộ Tài chính hướng dẫn về hoạt động của công ty quản lý quỹ đầu tư chứng khoán, Thông tư số 91/2020/TT-BTC ngày 13/11/2020 của Bộ trưởng Bộ Tài chính quy định chi tiêu an toàn tài chính và biện pháp xử lý đối với tổ chức kinh doanh chứng khoán không đáp ứng chi tiêu an toàn tài chính, Thông tư số 48/2019/TT-BTC ngày 08/8/2019 của Bộ trưởng Bộ Tài chính hướng dẫn việc trích lập và xử lý các khoản dự phòng giảm giá hàng tồn kho, tổn thất các khoản đầu tư, nợ phải thu khó đòi và bảo hành sản phẩm, hàng hóa, dịch vụ, công trình xây dựng tại doanh nghiệp và các văn bản sửa đổi, bổ sung, thay thế (nếu có).</w:t>
      </w:r>
    </w:p>
    <w:p>
      <w:r>
        <w:rPr>
          <w:b w:val="0"/>
          <w:i w:val="0"/>
        </w:rPr>
        <w:t>2. Đối với số dư quỹ dự trữ bổ sung vốn điều lệ được trích lập theo quy định tại Thông tư số 146/2014/TT-BTC, công ty chứng khoán, công ty quản lý quỹ, chi nhánh công ty quản lý quỹ nước ngoài được cấp giấy phép thành lập và hoạt động tại Việt Nam bổ sung vốn điều lệ theo quy định tại Luật Chứng khoán số 54/2019/QH14, các văn bản hướng dẫn và Điều lệ tổ chức và hoạt động của doanh nghiệp.</w:t>
      </w:r>
    </w:p>
    <w:p>
      <w:r>
        <w:rPr>
          <w:b w:val="0"/>
          <w:i w:val="0"/>
        </w:rPr>
        <w:t>3. Đối với số dư quỹ dự phòng tài chính và rủi ro nghiệp vụ được trích lập theo quy định tại Thông tư số 146/2014/TT-BTC, công ty chứng khoán, công ty quản lý quỹ, chi nhánh công ty quản lý quỹ nước ngoài được cấp giấy phép thành lập và hoạt động tại Việt Nam bổ sung vốn điều lệ hoặc sử dụng theo quyết định của Đại hội đồng cổ đông, Hội đồng thành viên hoặc Chủ tịch công ty theo quy định tại Luật Chứng khoán số 54/2019/QH14, các văn bản hướng dẫn và Điều lệ tổ chức và hoạt động của doanh nghiệp, đảm bảo đáp ứng chỉ tiêu an toàn tài chính theo quy định của pháp luật chứng khoán.</w:t>
      </w:r>
    </w:p>
    <w:p>
      <w:r>
        <w:rPr>
          <w:b/>
          <w:i w:val="0"/>
        </w:rPr>
        <w:t>Điều 3. Hiệu lực thi hành và tổ chức thực hiện</w:t>
      </w:r>
    </w:p>
    <w:p>
      <w:r>
        <w:rPr>
          <w:b w:val="0"/>
          <w:i w:val="0"/>
        </w:rPr>
        <w:t>1. Thông tư này có hiệu lực thi hành kể từ ngày 1 tháng 2 năm 2022 và áp dụng từ năm tài chính 2022.</w:t>
      </w:r>
    </w:p>
    <w:p>
      <w:r>
        <w:rPr>
          <w:b w:val="0"/>
          <w:i w:val="0"/>
        </w:rPr>
        <w:t>2. Chánh Văn phòng Bộ Tài chính, Vụ trưởng Vụ Tài chính các ngân hàng và tổ chức tài chính; Thủ trưởng các đơn vị liên quan thuộc Bộ Tài chính, công ty chứng khoán, công ty quản lý quỹ, chi nhánh công ty quản lý quỹ nước ngoài được cấp giấy phép thành lập và hoạt động tại Việt Nam và các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các Phó Thủ tướng Chính phủ:</w:t>
            </w:r>
            <w:r>
              <w:rPr>
                <w:b w:val="0"/>
                <w:i w:val="0"/>
              </w:rPr>
              <w:br/>
            </w:r>
            <w:r>
              <w:rPr>
                <w:b w:val="0"/>
                <w:i w:val="0"/>
              </w:rPr>
              <w:t>- Văn phòng Trung ương &amp; các Ban của Đảng,</w:t>
            </w:r>
            <w:r>
              <w:rPr>
                <w:b w:val="0"/>
                <w:i w:val="0"/>
              </w:rPr>
              <w:br/>
            </w:r>
            <w:r>
              <w:rPr>
                <w:b w:val="0"/>
                <w:i w:val="0"/>
              </w:rPr>
              <w:t>-Văn phòng Tổng bí thư;</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Các Bộ, cơ quan ngang Bộ, cơ quan thuộc CP;</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Cơ quan Trung ương của các đoàn thể;</w:t>
            </w:r>
            <w:r>
              <w:rPr>
                <w:b w:val="0"/>
                <w:i w:val="0"/>
              </w:rPr>
              <w:br/>
            </w:r>
            <w:r>
              <w:rPr>
                <w:b w:val="0"/>
                <w:i w:val="0"/>
              </w:rPr>
              <w:t>- HĐND, UBND các tỉnh, TP trực thuộc TW;</w:t>
            </w:r>
            <w:r>
              <w:rPr>
                <w:b w:val="0"/>
                <w:i w:val="0"/>
              </w:rPr>
              <w:br/>
            </w:r>
            <w:r>
              <w:rPr>
                <w:b w:val="0"/>
                <w:i w:val="0"/>
              </w:rPr>
              <w:t>- Sở Tài chính các tỉnh, TP trực thuộc TW;</w:t>
            </w:r>
            <w:r>
              <w:rPr>
                <w:b w:val="0"/>
                <w:i w:val="0"/>
              </w:rPr>
              <w:br/>
            </w:r>
            <w:r>
              <w:rPr>
                <w:b w:val="0"/>
                <w:i w:val="0"/>
              </w:rPr>
              <w:t>- Cục Kiểm tra văn bản (Bộ Tư pháp);</w:t>
            </w:r>
            <w:r>
              <w:rPr>
                <w:b w:val="0"/>
                <w:i w:val="0"/>
              </w:rPr>
              <w:br/>
            </w:r>
            <w:r>
              <w:rPr>
                <w:b w:val="0"/>
                <w:i w:val="0"/>
              </w:rPr>
              <w:t>- Công báo;</w:t>
            </w:r>
            <w:r>
              <w:rPr>
                <w:b w:val="0"/>
                <w:i w:val="0"/>
              </w:rPr>
              <w:br/>
            </w:r>
            <w:r>
              <w:rPr>
                <w:b w:val="0"/>
                <w:i w:val="0"/>
              </w:rPr>
              <w:t>- Website Chính phủ, Bộ Tài chính;</w:t>
            </w:r>
            <w:r>
              <w:rPr>
                <w:b w:val="0"/>
                <w:i w:val="0"/>
              </w:rPr>
              <w:br/>
            </w:r>
            <w:r>
              <w:rPr>
                <w:b w:val="0"/>
                <w:i w:val="0"/>
              </w:rPr>
              <w:t>- Các đơn vị thuộc và trực thuộc Bộ Tài chính;</w:t>
            </w:r>
            <w:r>
              <w:rPr>
                <w:b w:val="0"/>
                <w:i w:val="0"/>
              </w:rPr>
              <w:br/>
            </w:r>
            <w:r>
              <w:rPr>
                <w:b w:val="0"/>
                <w:i w:val="0"/>
              </w:rPr>
              <w:t xml:space="preserve">- Lưu: VT, Vụ TCNH (170b). </w:t>
            </w:r>
            <w:r>
              <w:rPr>
                <w:b w:val="0"/>
                <w:i w:val="0"/>
              </w:rPr>
              <w:br/>
            </w:r>
          </w:p>
        </w:tc>
        <w:tc>
          <w:tcPr>
            <w:tcW w:type="dxa" w:w="4320"/>
          </w:tcPr>
          <w:p>
            <w:r>
              <w:rPr>
                <w:b w:val="0"/>
                <w:i w:val="0"/>
              </w:rPr>
              <w:br/>
            </w:r>
            <w:r>
              <w:rPr>
                <w:b/>
                <w:i w:val="0"/>
              </w:rPr>
              <w:t xml:space="preserve">KT. BỘ TRƯỞNG </w:t>
            </w:r>
            <w:r>
              <w:rPr>
                <w:b w:val="0"/>
                <w:i w:val="0"/>
              </w:rPr>
              <w:br/>
            </w:r>
            <w:r>
              <w:rPr>
                <w:b/>
                <w:i w:val="0"/>
              </w:rPr>
              <w:t>THỨ TRƯỞNG</w:t>
            </w:r>
            <w:r>
              <w:rPr>
                <w:b w:val="0"/>
                <w:i w:val="0"/>
              </w:rPr>
              <w:br/>
            </w:r>
            <w:r>
              <w:rPr>
                <w:b/>
                <w:i/>
              </w:rPr>
              <w:t>(Đã ký)</w:t>
            </w:r>
            <w:r>
              <w:rPr>
                <w:b w:val="0"/>
                <w:i w:val="0"/>
              </w:rPr>
              <w:br/>
            </w:r>
            <w:r>
              <w:rPr>
                <w:b/>
                <w:i w:val="0"/>
              </w:rPr>
              <w:t>Nguyễn Đức Chi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