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116/2003/QĐ-BCN Về việc sáp nhập Công ty Pirít vào Công ty  Apatít Việt Nam, Tổng công ty Hoá chất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116/2003/QĐ-BCN</w:t>
      </w:r>
      <w:r>
        <w:rPr>
          <w:b w:val="0"/>
          <w:i w:val="0"/>
        </w:rPr>
        <w:br/>
      </w:r>
      <w:r>
        <w:rPr>
          <w:b w:val="0"/>
          <w:i w:val="0"/>
        </w:rPr>
        <w:br/>
      </w:r>
      <w:r>
        <w:rPr>
          <w:b w:val="0"/>
          <w:i/>
        </w:rPr>
        <w:br/>
      </w:r>
      <w:r>
        <w:rPr>
          <w:b w:val="0"/>
          <w:i/>
        </w:rPr>
        <w:t>Hà Nội, ngày 07 tháng 07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116/2003/QĐ-BCN</w:t>
      </w:r>
      <w:r>
        <w:rPr>
          <w:b w:val="0"/>
          <w:i w:val="0"/>
        </w:rPr>
        <w:br/>
      </w:r>
      <w:r>
        <w:rPr>
          <w:b w:val="0"/>
          <w:i w:val="0"/>
        </w:rPr>
        <w:br/>
      </w:r>
      <w:r>
        <w:rPr>
          <w:b w:val="0"/>
          <w:i/>
        </w:rPr>
        <w:br/>
      </w:r>
      <w:r>
        <w:rPr>
          <w:b w:val="0"/>
          <w:i/>
        </w:rPr>
        <w:t>Hà Nội, ngày 07 tháng 07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116/2003/QĐ-BCN</w:t>
      </w:r>
      <w:r>
        <w:rPr>
          <w:b w:val="0"/>
          <w:i w:val="0"/>
        </w:rPr>
        <w:br/>
      </w:r>
      <w:r>
        <w:rPr>
          <w:b w:val="0"/>
          <w:i w:val="0"/>
        </w:rPr>
        <w:br/>
      </w:r>
      <w:r>
        <w:rPr>
          <w:b w:val="0"/>
          <w:i/>
        </w:rPr>
        <w:br/>
      </w:r>
      <w:r>
        <w:rPr>
          <w:b w:val="0"/>
          <w:i/>
        </w:rPr>
        <w:t>Hà Nội, ngày 07 tháng 07 năm 2003</w:t>
      </w:r>
      <w:r>
        <w:rPr>
          <w:b w:val="0"/>
          <w:i/>
        </w:rPr>
        <w:br/>
      </w:r>
      <w:r>
        <w:rPr>
          <w:b w:val="0"/>
          <w:i w:val="0"/>
        </w:rPr>
        <w:br/>
      </w:r>
    </w:p>
    <w:p>
      <w:pPr>
        <w:jc w:val="center"/>
      </w:pPr>
      <w:r>
        <w:rPr>
          <w:b w:val="0"/>
          <w:i w:val="0"/>
        </w:rPr>
        <w:br/>
      </w:r>
      <w:r>
        <w:rPr>
          <w:b w:val="0"/>
          <w:i w:val="0"/>
        </w:rPr>
        <w:t>Số: 116/2003/QĐ-BCN</w:t>
      </w:r>
      <w:r>
        <w:rPr>
          <w:b w:val="0"/>
          <w:i w:val="0"/>
        </w:rPr>
        <w:br/>
      </w:r>
    </w:p>
    <w:p>
      <w:pPr>
        <w:jc w:val="center"/>
      </w:pPr>
      <w:r>
        <w:rPr>
          <w:b w:val="0"/>
          <w:i w:val="0"/>
        </w:rPr>
        <w:br/>
      </w:r>
      <w:r>
        <w:rPr>
          <w:b w:val="0"/>
          <w:i w:val="0"/>
        </w:rPr>
        <w:t>Hà Nội, ngày 07 tháng 07 năm 2003</w:t>
      </w:r>
      <w:r>
        <w:rPr>
          <w:b w:val="0"/>
          <w:i w:val="0"/>
        </w:rPr>
        <w:br/>
      </w:r>
    </w:p>
    <w:p>
      <w:r>
        <w:rPr>
          <w:b/>
          <w:i w:val="0"/>
        </w:rPr>
        <w:t>QUYẾT ĐỊNH</w:t>
      </w:r>
      <w:r>
        <w:br/>
      </w:r>
      <w:r>
        <w:rPr>
          <w:b/>
          <w:i w:val="0"/>
        </w:rPr>
        <w:t xml:space="preserve">Về việc sáp nhập Công ty Pirít vào Công ty Apatít Việt Nam, </w:t>
      </w:r>
      <w:r>
        <w:br/>
      </w:r>
      <w:r>
        <w:rPr>
          <w:b/>
          <w:i w:val="0"/>
        </w:rPr>
        <w:t>Tổng Công ty hoá chất Việt Nam</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 xml:space="preserve">Căn cứ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số 50/CP; </w:t>
      </w:r>
    </w:p>
    <w:p>
      <w:pPr>
        <w:jc w:val="both"/>
      </w:pPr>
      <w:r>
        <w:rPr>
          <w:b w:val="0"/>
          <w:i/>
        </w:rPr>
        <w:t>Căn cứ Quyết định số 183/QĐ-TTg ngày 19 tháng 02 năm 2003 của Thủ tướng Chính phủ về việc phê duyệt Đề án tổng thể sắp xếp, đổi mới doanh nghiệp nhà nước thuộc Tổng công ty Hoá chất Việt Nam giai đoạn 2003-2005;</w:t>
      </w:r>
    </w:p>
    <w:p>
      <w:pPr>
        <w:jc w:val="both"/>
      </w:pPr>
      <w:r>
        <w:rPr>
          <w:b w:val="0"/>
          <w:i/>
        </w:rPr>
        <w:t>Thừa uỷ quyền của Thủ tướng Chính phủ tại Công văn số 855/CP-ĐMDN ngày 25 tháng 6 năm 2003 về việc sáp nhập Công ty Pirít vào Công ty Apatít Việt Nam, Tổng công ty Hoá chất Việt Nam;</w:t>
      </w:r>
    </w:p>
    <w:p>
      <w:pPr>
        <w:jc w:val="both"/>
      </w:pPr>
      <w:r>
        <w:rPr>
          <w:b w:val="0"/>
          <w:i/>
        </w:rPr>
        <w:t>Xét đề nghị của Hội đồng quản trị Tổng công ty Hoá chất Việt Nam tại Công văn số 377/CV-HĐQT ngày 06 tháng 5 năm 2003;</w:t>
      </w:r>
    </w:p>
    <w:p>
      <w:r>
        <w:rPr>
          <w:b w:val="0"/>
          <w:i/>
        </w:rPr>
        <w:t xml:space="preserve">Theo đề nghị của Vụ trưởng Vụ Tổ chức cán bộ, </w:t>
      </w:r>
    </w:p>
    <w:p>
      <w:r>
        <w:rPr>
          <w:b/>
          <w:i w:val="0"/>
        </w:rPr>
        <w:t>QUYẾT ĐỊNH</w:t>
      </w:r>
    </w:p>
    <w:p>
      <w:pPr>
        <w:jc w:val="both"/>
      </w:pPr>
      <w:r>
        <w:rPr>
          <w:b/>
          <w:i w:val="0"/>
        </w:rPr>
        <w:t xml:space="preserve">Điều 1. </w:t>
      </w:r>
      <w:r>
        <w:rPr>
          <w:b w:val="0"/>
          <w:i w:val="0"/>
        </w:rPr>
        <w:t>Sáp nhập Công ty Pirít vào Công ty Apatít Việt Nam, Tổng công ty Hoá chất Việt Nam.</w:t>
      </w:r>
    </w:p>
    <w:p>
      <w:pPr>
        <w:jc w:val="both"/>
      </w:pPr>
      <w:r>
        <w:rPr>
          <w:b/>
          <w:i w:val="0"/>
        </w:rPr>
        <w:t xml:space="preserve">Điều 2. </w:t>
      </w:r>
      <w:r>
        <w:rPr>
          <w:b w:val="0"/>
          <w:i w:val="0"/>
        </w:rPr>
        <w:t>Giao Hội đồng quản trị Tổng công ty Hoá chất Việt Nam tổ chức thực hiện việc sáp nhập này theo đúng các quy định hiện hành của Nhà nước.</w:t>
      </w:r>
    </w:p>
    <w:p>
      <w:pPr>
        <w:jc w:val="both"/>
      </w:pPr>
      <w:r>
        <w:rPr>
          <w:b/>
          <w:i w:val="0"/>
        </w:rPr>
        <w:t>Điều 3.</w:t>
      </w:r>
      <w:r>
        <w:rPr>
          <w:b w:val="0"/>
          <w:i w:val="0"/>
        </w:rPr>
        <w:t xml:space="preserve"> Quyết định này có hiệu lực thi hành sau 15 ngày, kể từ ngày đăng Công báo.</w:t>
      </w:r>
    </w:p>
    <w:p>
      <w:pPr>
        <w:jc w:val="both"/>
      </w:pPr>
      <w:r>
        <w:rPr>
          <w:b w:val="0"/>
          <w:i w:val="0"/>
        </w:rPr>
        <w:t>Chánh Văn phòng, Chánh Thanh tra, các Vụ trưởng, Cục trưởng thuộc Bộ, Chủ tịch Hội đồng quản trị và Tổng giám đốc Tổng công ty Hoá chất Việt Nam, Giám đốc Công ty Pirít và Giám đốc Công ty Apatít Việt Nam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t xml:space="preserve">BỘ CÔNG NGHIỆP </w:t>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t xml:space="preserve">BỘ CÔNG NGHIỆP </w:t>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t xml:space="preserve">BỘ CÔNG NGHIỆP </w:t>
      </w:r>
      <w:r>
        <w:rPr>
          <w:b/>
          <w:i w:val="0"/>
        </w:rPr>
        <w:t xml:space="preserve">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i w:val="0"/>
        </w:rPr>
        <w:t xml:space="preserve">BỘ CÔNG NGHIỆP </w:t>
      </w:r>
      <w:r>
        <w:rPr>
          <w:b w:val="0"/>
          <w:i w:val="0"/>
        </w:rPr>
        <w:t xml:space="preserve">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