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117/2003/QĐ-TTg Về việc phê duyệt Phương án tổng thể sắp xếp, đổi mới doanh nghiệp nhà nước trực thuộc Bộ Y Tế giai đoạn 2003 - 2005</w:t>
      </w:r>
    </w:p>
    <w:p>
      <w:r>
        <w:rPr>
          <w:b w:val="0"/>
          <w:i w:val="0"/>
        </w:rPr>
        <w:br/>
      </w:r>
      <w:r>
        <w:rPr>
          <w:b w:val="0"/>
          <w:i w:val="0"/>
        </w:rPr>
        <w:br/>
      </w:r>
      <w:r>
        <w:rPr>
          <w:b w:val="0"/>
          <w:i w:val="0"/>
        </w:rPr>
        <w:br/>
      </w:r>
      <w:r>
        <w:rPr>
          <w:b/>
          <w:i w:val="0"/>
        </w:rPr>
        <w:br/>
      </w:r>
      <w:r>
        <w:rPr>
          <w:b/>
          <w:i w:val="0"/>
        </w:rPr>
        <w:br/>
      </w:r>
      <w:r>
        <w:rPr>
          <w:b/>
          <w:i w:val="0"/>
        </w:rPr>
        <w:t>THỦ TƯỚNG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117/2003/QĐ-TTG</w:t>
      </w:r>
      <w:r>
        <w:rPr>
          <w:b w:val="0"/>
          <w:i w:val="0"/>
        </w:rPr>
        <w:br/>
      </w:r>
      <w:r>
        <w:rPr>
          <w:b w:val="0"/>
          <w:i w:val="0"/>
        </w:rPr>
        <w:br/>
      </w:r>
      <w:r>
        <w:rPr>
          <w:b w:val="0"/>
          <w:i/>
        </w:rPr>
        <w:br/>
      </w:r>
      <w:r>
        <w:rPr>
          <w:b w:val="0"/>
          <w:i/>
        </w:rPr>
        <w:t>Hà Nội, ngày 11 tháng 06 năm 2003</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THỦ TƯỚNG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117/2003/QĐ-TTG</w:t>
      </w:r>
      <w:r>
        <w:rPr>
          <w:b w:val="0"/>
          <w:i w:val="0"/>
        </w:rPr>
        <w:br/>
      </w:r>
      <w:r>
        <w:rPr>
          <w:b w:val="0"/>
          <w:i w:val="0"/>
        </w:rPr>
        <w:br/>
      </w:r>
      <w:r>
        <w:rPr>
          <w:b w:val="0"/>
          <w:i/>
        </w:rPr>
        <w:br/>
      </w:r>
      <w:r>
        <w:rPr>
          <w:b w:val="0"/>
          <w:i/>
        </w:rPr>
        <w:t>Hà Nội, ngày 11 tháng 06 năm 2003</w:t>
      </w:r>
      <w:r>
        <w:rPr>
          <w:b w:val="0"/>
          <w:i/>
        </w:rPr>
        <w:br/>
      </w:r>
      <w:r>
        <w:rPr>
          <w:b w:val="0"/>
          <w:i w:val="0"/>
        </w:rPr>
        <w:br/>
      </w:r>
      <w:r>
        <w:rPr>
          <w:b w:val="0"/>
          <w:i w:val="0"/>
        </w:rPr>
        <w:br/>
      </w:r>
    </w:p>
    <w:p>
      <w:r>
        <w:rPr>
          <w:b w:val="0"/>
          <w:i w:val="0"/>
        </w:rPr>
        <w:br/>
      </w:r>
      <w:r>
        <w:rPr>
          <w:b/>
          <w:i w:val="0"/>
        </w:rPr>
        <w:br/>
      </w:r>
      <w:r>
        <w:rPr>
          <w:b/>
          <w:i w:val="0"/>
        </w:rPr>
        <w:br/>
      </w:r>
      <w:r>
        <w:rPr>
          <w:b/>
          <w:i w:val="0"/>
        </w:rPr>
        <w:t>THỦ TƯỚNG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THỦ TƯỚNG CHÍNH PHỦ</w:t>
      </w:r>
      <w:r>
        <w:rPr>
          <w:b w:val="0"/>
          <w:i w:val="0"/>
        </w:rPr>
        <w:br/>
      </w:r>
      <w:r>
        <w:rPr>
          <w:b w:val="0"/>
          <w:i w:val="0"/>
        </w:rPr>
        <w:br/>
      </w:r>
      <w:r>
        <w:rPr>
          <w:b w:val="0"/>
          <w:i w:val="0"/>
        </w:rPr>
        <w:br/>
      </w:r>
    </w:p>
    <w:p>
      <w:r>
        <w:rPr>
          <w:b w:val="0"/>
          <w:i w:val="0"/>
        </w:rPr>
        <w:br/>
      </w:r>
      <w:r>
        <w:rPr>
          <w:b w:val="0"/>
          <w:i w:val="0"/>
        </w:rPr>
        <w:t>THỦ TƯỚNG CHÍNH PHỦ</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117/2003/QĐ-TTG</w:t>
      </w:r>
      <w:r>
        <w:rPr>
          <w:b w:val="0"/>
          <w:i w:val="0"/>
        </w:rPr>
        <w:br/>
      </w:r>
      <w:r>
        <w:rPr>
          <w:b w:val="0"/>
          <w:i w:val="0"/>
        </w:rPr>
        <w:br/>
      </w:r>
      <w:r>
        <w:rPr>
          <w:b w:val="0"/>
          <w:i/>
        </w:rPr>
        <w:br/>
      </w:r>
      <w:r>
        <w:rPr>
          <w:b w:val="0"/>
          <w:i/>
        </w:rPr>
        <w:t>Hà Nội, ngày 11 tháng 06 năm 2003</w:t>
      </w:r>
      <w:r>
        <w:rPr>
          <w:b w:val="0"/>
          <w:i/>
        </w:rPr>
        <w:br/>
      </w:r>
      <w:r>
        <w:rPr>
          <w:b w:val="0"/>
          <w:i w:val="0"/>
        </w:rPr>
        <w:br/>
      </w:r>
    </w:p>
    <w:p>
      <w:pPr>
        <w:jc w:val="center"/>
      </w:pPr>
      <w:r>
        <w:rPr>
          <w:b w:val="0"/>
          <w:i w:val="0"/>
        </w:rPr>
        <w:br/>
      </w:r>
      <w:r>
        <w:rPr>
          <w:b w:val="0"/>
          <w:i w:val="0"/>
        </w:rPr>
        <w:t>Số: 117/2003/QĐ-TTG</w:t>
      </w:r>
      <w:r>
        <w:rPr>
          <w:b w:val="0"/>
          <w:i w:val="0"/>
        </w:rPr>
        <w:br/>
      </w:r>
    </w:p>
    <w:p>
      <w:pPr>
        <w:jc w:val="right"/>
      </w:pPr>
      <w:r>
        <w:rPr>
          <w:b w:val="0"/>
          <w:i w:val="0"/>
        </w:rPr>
        <w:br/>
      </w:r>
      <w:r>
        <w:rPr>
          <w:b w:val="0"/>
          <w:i w:val="0"/>
        </w:rPr>
        <w:t>Hà Nội, ngày 11 tháng 06 năm 2003</w:t>
      </w:r>
      <w:r>
        <w:rPr>
          <w:b w:val="0"/>
          <w:i w:val="0"/>
        </w:rPr>
        <w:br/>
      </w:r>
    </w:p>
    <w:p>
      <w:r>
        <w:rPr>
          <w:b/>
          <w:i w:val="0"/>
        </w:rPr>
        <w:t>QUYẾT ĐỊNH</w:t>
      </w:r>
    </w:p>
    <w:p>
      <w:r>
        <w:rPr>
          <w:b/>
          <w:i w:val="0"/>
        </w:rPr>
        <w:t xml:space="preserve">Về việc phê duyệt phương án tổng thể sắp xếp, đổi mới doanh nghiệp nhà nước </w:t>
      </w:r>
    </w:p>
    <w:p>
      <w:r>
        <w:rPr>
          <w:b/>
          <w:i w:val="0"/>
        </w:rPr>
        <w:t>trực thuộc Bộ Y tế giai đoạn 2003 – 2005</w:t>
      </w:r>
    </w:p>
    <w:p>
      <w:r>
        <w:rPr>
          <w:b/>
          <w:i w:val="0"/>
        </w:rPr>
        <w:t>____________________</w:t>
      </w:r>
    </w:p>
    <w:p>
      <w:r>
        <w:rPr>
          <w:b/>
          <w:i w:val="0"/>
        </w:rPr>
        <w:t>THỦ TƯỚNG CHÍNH PHỦ</w:t>
      </w:r>
    </w:p>
    <w:p>
      <w:r>
        <w:rPr>
          <w:b w:val="0"/>
          <w:i/>
        </w:rPr>
        <w:t>Căn cứ Luật Tổ chức Chính phủ ngày 25 tháng 12 năm 2001;</w:t>
      </w:r>
    </w:p>
    <w:p>
      <w:r>
        <w:rPr>
          <w:b w:val="0"/>
          <w:i/>
        </w:rPr>
        <w:t>Căn cứ Quyết định số 58/2002/QĐ-TTg ngày 26 tháng 4 năm 2002 của Thủ tướng Chính phủ về ban hành tiêu chí, danh mục phân loại doanh nghiệp nhà nước và Tổng công ty nhà nước;</w:t>
      </w:r>
    </w:p>
    <w:p>
      <w:r>
        <w:rPr>
          <w:b w:val="0"/>
          <w:i/>
        </w:rPr>
        <w:t>Căn cứ Chỉ thị số 01/2003/CT-TTg ngày 16 tháng 01 năm 2003 của Thủ tướng Chính phủ về việc tiếp tục đẩy mạnh sắp xếp, đổi mới, phát triển và nâng cao hiệu quả doanh nghiệp nhà nước;</w:t>
      </w:r>
    </w:p>
    <w:p>
      <w:r>
        <w:rPr>
          <w:b w:val="0"/>
          <w:i/>
        </w:rPr>
        <w:t xml:space="preserve">Xét đề nghị của Bộ Y tế (công văn số 11655/TTr-BYT ngày 31 tháng 12 năm 2002); Bộ Tài Chính (công văn số 2392 TC/TCNH ngày 18 tháng 3 năm 2003); Bộ Nội Vụ (công văn số 194/BNV-TCBC ngày 29 tháng 01 năm 2003); </w:t>
      </w:r>
    </w:p>
    <w:p>
      <w:r>
        <w:rPr>
          <w:b w:val="0"/>
          <w:i/>
        </w:rPr>
        <w:t>Bộ Lao động - Thương binh và Xã hội (công văn số 254/LĐTBXH-CSLĐVL ngày 24 tháng 01 năm 2003); Bộ Kế hoạch và Đầu tư (công văn số 627 BKH/DN ngày 28 tháng 01 năm 2003); Ban Kinh tế Trung ương (công văn 41-CV/KTTW ngày 30 tháng 01 năm 2003),</w:t>
      </w:r>
    </w:p>
    <w:p>
      <w:r>
        <w:rPr>
          <w:b/>
          <w:i w:val="0"/>
        </w:rPr>
        <w:t>QUYẾT ĐỊNH:</w:t>
      </w:r>
    </w:p>
    <w:p>
      <w:r>
        <w:rPr>
          <w:b/>
          <w:i w:val="0"/>
        </w:rPr>
        <w:t xml:space="preserve">Điều 1. </w:t>
      </w:r>
      <w:r>
        <w:rPr>
          <w:b w:val="0"/>
          <w:i w:val="0"/>
        </w:rPr>
        <w:t>Phê duyệt Phương án tổng thể sắp xếp, đổi mới doanh nghiệp nhà nước của Bộ Y tế giai đoạn 2003 - 2005 như phụ lục kèm theo.</w:t>
      </w:r>
    </w:p>
    <w:p>
      <w:r>
        <w:rPr>
          <w:b w:val="0"/>
          <w:i w:val="0"/>
        </w:rPr>
        <w:t xml:space="preserve">Bộ trưởng Bộ Y tế chỉ đạo đẩy nhanh việc thực hiện chiến lược phát triển ngành Dược đến năm 2010, theo Quyết định số 108/2002/QĐ-TTg của Thủ tướng Chính phủ; tổ chức lại hệ thống phân phối, tăng cường quản lý Nhà nước về giá và chất lượng thuốc đáp ứng yêu cầu phòng, chữa bệnh của nhân dân; đồng thời khẩn trương xây dựng Đề án sản xuất thuốc kháng sinh và các loại thuốc thiết yếu trình Thủ tướng Chính phủ xem xét quyết định. </w:t>
      </w:r>
    </w:p>
    <w:p>
      <w:r>
        <w:rPr>
          <w:b/>
          <w:i w:val="0"/>
        </w:rPr>
        <w:t xml:space="preserve">Điều 2. </w:t>
      </w:r>
      <w:r>
        <w:rPr>
          <w:b w:val="0"/>
          <w:i w:val="0"/>
        </w:rPr>
        <w:t>Bộ trưởng Bộ Y Tế có trách nhiệm chỉ đạo thực hiện việc sắp xếp, đổi mới doanh nghiệp nhà nước trực thuộc theo đúng nội dung và tiến độ đã được duyệt. Trường hợp điều chỉnh, bổ sung phải được sự chấp thuận của Thủ tướng Chính phủ.</w:t>
      </w:r>
    </w:p>
    <w:p>
      <w:r>
        <w:rPr>
          <w:b/>
          <w:i w:val="0"/>
        </w:rPr>
        <w:t xml:space="preserve">Điều 3. </w:t>
      </w:r>
      <w:r>
        <w:rPr>
          <w:b w:val="0"/>
          <w:i w:val="0"/>
        </w:rPr>
        <w:t>Bộ Tài Chính, Bộ Kế hoạch và Đầu Tư, Bộ Nội Vụ, Bộ Lao động - Thương binh và Xã hội và các cơ quan liên quan có trách nhiệm phối hợp với Bộ Y Tế trong việc thực hiện Phương án.</w:t>
      </w:r>
    </w:p>
    <w:p>
      <w:r>
        <w:rPr>
          <w:b w:val="0"/>
          <w:i w:val="0"/>
        </w:rPr>
        <w:t>Ban Chỉ đạo Đổi mới và Phát triển doanh nghiệp chịu trách nhiệm đôn đốc, hướng dẫn và theo dõi việc thực hiện phương án này, đồng thời kiến nghị với Thủ tướng Chính phủ các giải pháp tháo gỡ khó khăn trong quá trình thực hiện.</w:t>
      </w:r>
    </w:p>
    <w:p>
      <w:r>
        <w:rPr>
          <w:b/>
          <w:i w:val="0"/>
        </w:rPr>
        <w:t xml:space="preserve">Điều 4. </w:t>
      </w:r>
      <w:r>
        <w:rPr>
          <w:b w:val="0"/>
          <w:i w:val="0"/>
        </w:rPr>
        <w:t>Quyết định này có hiệu lực sau 15 ngày, kể từ ngày đăng Công báo.</w:t>
      </w:r>
    </w:p>
    <w:p>
      <w:r>
        <w:rPr>
          <w:b w:val="0"/>
          <w:i w:val="0"/>
        </w:rPr>
        <w:t xml:space="preserve">Bộ Trưởng Bộ Y tế và Thủ trưởng các cơ quan liên quan chịu trách nhiệm thi hành Quyết định này ./. </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KT. THỦ TƯỚNG CHÍNH PHỦ</w:t>
            </w:r>
            <w:r>
              <w:br/>
            </w:r>
            <w:r>
              <w:rPr>
                <w:b/>
                <w:i w:val="0"/>
              </w:rPr>
              <w:br/>
              <w:t xml:space="preserve">          PHÓ THỦ TƯỚNG</w:t>
            </w:r>
            <w:r>
              <w:br/>
            </w:r>
            <w:r>
              <w:br/>
            </w:r>
            <w:r>
              <w:rPr>
                <w:b/>
                <w:i/>
              </w:rPr>
              <w:t>(Đã ký)</w:t>
            </w:r>
            <w:r>
              <w:br/>
            </w:r>
            <w:r>
              <w:br/>
            </w:r>
            <w:r>
              <w:br/>
            </w:r>
            <w:r>
              <w:rPr>
                <w:b/>
                <w:i w:val="0"/>
              </w:rPr>
              <w:t>Nguyễn Tấn Dũng</w:t>
            </w:r>
          </w:p>
        </w:tc>
      </w:tr>
    </w:tbl>
    <w:p>
      <w:r>
        <w:rPr>
          <w:b/>
          <w:i w:val="0"/>
        </w:rPr>
        <w:t>PHỤ LỤC</w:t>
      </w:r>
    </w:p>
    <w:p>
      <w:r>
        <w:rPr>
          <w:b/>
          <w:i w:val="0"/>
        </w:rPr>
        <w:t>DANH MỤC DOANH NGHIỆP NHÀ NƯỚC TRỰC THUỘC BỘ Y TẾ THỰC HIỆN SẮP XẾP, ĐỔI MỚI GIAI ĐOẠN 2003 – 2005</w:t>
      </w:r>
      <w:r>
        <w:br/>
      </w:r>
      <w:r>
        <w:rPr>
          <w:b w:val="0"/>
          <w:i/>
        </w:rPr>
        <w:t>(Ban hành kèm theo Quyết định số 117/2003/QĐ-TTg</w:t>
      </w:r>
      <w:r>
        <w:rPr>
          <w:b w:val="0"/>
          <w:i w:val="0"/>
        </w:rPr>
        <w:t xml:space="preserve"> </w:t>
      </w:r>
      <w:r>
        <w:rPr>
          <w:b w:val="0"/>
          <w:i/>
        </w:rPr>
        <w:t>ngày 11 tháng 6 năm 2003 của Thủ tướng Chính phủ)</w:t>
      </w:r>
    </w:p>
    <w:p>
      <w:r>
        <w:rPr>
          <w:b/>
          <w:i w:val="0"/>
        </w:rPr>
        <w:t>I. NHỮNG DOANH NGHIỆP MÀ NHÀ NƯỚC TIẾP TỤC NẮM GIỮ 100% VỐN ĐIỀU LỆ VÀ GIỮ NGUYÊN PHÁP NHÂN ĐẾN NĂM 2005, GỒM 11 DOANH NGHIỆP :</w:t>
      </w:r>
    </w:p>
    <w:p>
      <w:r>
        <w:rPr>
          <w:b w:val="0"/>
          <w:i w:val="0"/>
        </w:rPr>
        <w:t>- Công ty Dược phẩm Trung ương 1,</w:t>
      </w:r>
    </w:p>
    <w:p>
      <w:r>
        <w:rPr>
          <w:b w:val="0"/>
          <w:i w:val="0"/>
        </w:rPr>
        <w:t>- Công ty Dược phẩm Trung ương 2,</w:t>
      </w:r>
    </w:p>
    <w:p>
      <w:r>
        <w:rPr>
          <w:b w:val="0"/>
          <w:i w:val="0"/>
        </w:rPr>
        <w:t>- Công ty Dược phẩm Trung ương 3,</w:t>
      </w:r>
    </w:p>
    <w:p>
      <w:r>
        <w:rPr>
          <w:b w:val="0"/>
          <w:i w:val="0"/>
        </w:rPr>
        <w:t>- Công ty Vắc xin và Sinh phẩm số 1,</w:t>
      </w:r>
    </w:p>
    <w:p>
      <w:r>
        <w:rPr>
          <w:b w:val="0"/>
          <w:i w:val="0"/>
        </w:rPr>
        <w:t>- Công ty Vắc xin và Sinh phẩm số 2,</w:t>
      </w:r>
    </w:p>
    <w:p>
      <w:r>
        <w:rPr>
          <w:b w:val="0"/>
          <w:i w:val="0"/>
        </w:rPr>
        <w:t>- Công ty Dược khoa,</w:t>
      </w:r>
    </w:p>
    <w:p>
      <w:r>
        <w:rPr>
          <w:b w:val="0"/>
          <w:i w:val="0"/>
        </w:rPr>
        <w:t>- Xí nghiệp Dược phẩm Trung ương 1,</w:t>
      </w:r>
    </w:p>
    <w:p>
      <w:r>
        <w:rPr>
          <w:b w:val="0"/>
          <w:i w:val="0"/>
        </w:rPr>
        <w:t>- Nhà xuất bản Y học,</w:t>
      </w:r>
    </w:p>
    <w:p>
      <w:r>
        <w:rPr>
          <w:b w:val="0"/>
          <w:i w:val="0"/>
        </w:rPr>
        <w:t>- Trung tâm hợp tác chuyên gia và năng lực y tế với nước ngoài,</w:t>
      </w:r>
    </w:p>
    <w:p>
      <w:r>
        <w:rPr>
          <w:b w:val="0"/>
          <w:i w:val="0"/>
        </w:rPr>
        <w:t>- Xí nghiệp Dược phẩm Trung ương 25,</w:t>
      </w:r>
    </w:p>
    <w:p>
      <w:r>
        <w:rPr>
          <w:b w:val="0"/>
          <w:i w:val="0"/>
        </w:rPr>
        <w:t>- Xí nghiệp Dược phẩm Trung ương 5.</w:t>
      </w:r>
    </w:p>
    <w:p>
      <w:r>
        <w:rPr>
          <w:b/>
          <w:i w:val="0"/>
        </w:rPr>
        <w:t>II. DOANH NGHIỆP THỰC HIỆN CỔ PHẦN HOÁ :</w:t>
      </w:r>
    </w:p>
    <w:p>
      <w:r>
        <w:rPr>
          <w:b w:val="0"/>
          <w:i w:val="0"/>
        </w:rPr>
        <w:t>1. Doanh nghiệp thực hiện cổ phần hoá, trong đó Nhà n­ước giữ cổ phần chi phối trên 50% tổng số cổ phần của doanh nghiệp, gồm 04 doanh nghiệp :</w:t>
      </w:r>
    </w:p>
    <w:p>
      <w:r>
        <w:rPr>
          <w:b w:val="0"/>
          <w:i w:val="0"/>
        </w:rPr>
        <w:t>a) Thực hiện năm 2003 :</w:t>
      </w:r>
    </w:p>
    <w:p>
      <w:r>
        <w:rPr>
          <w:b w:val="0"/>
          <w:i w:val="0"/>
        </w:rPr>
        <w:t>- Công ty Xuất nhập khẩu y tế I Hà Nội,</w:t>
      </w:r>
    </w:p>
    <w:p>
      <w:r>
        <w:rPr>
          <w:b w:val="0"/>
          <w:i w:val="0"/>
        </w:rPr>
        <w:t>- Công ty Dược liệu Trung ương 1,</w:t>
      </w:r>
    </w:p>
    <w:p>
      <w:r>
        <w:rPr>
          <w:b w:val="0"/>
          <w:i w:val="0"/>
        </w:rPr>
        <w:t>b) Thực hiện năm 2004 :</w:t>
      </w:r>
    </w:p>
    <w:p>
      <w:r>
        <w:rPr>
          <w:b w:val="0"/>
          <w:i w:val="0"/>
        </w:rPr>
        <w:t>- Công ty Xuất nhập khẩu y tế II,</w:t>
      </w:r>
    </w:p>
    <w:p>
      <w:r>
        <w:rPr>
          <w:b w:val="0"/>
          <w:i w:val="0"/>
        </w:rPr>
        <w:t>- Xí nghiệp Dược phẩm Trung ương 2.</w:t>
      </w:r>
    </w:p>
    <w:p>
      <w:r>
        <w:rPr>
          <w:b w:val="0"/>
          <w:i w:val="0"/>
        </w:rPr>
        <w:t>2. Doanh nghiệp thực hiện cổ phần hoá, trong đó Nhà n­ước giữ cổ phần thấp nhất là 51% vốn điều lệ khi bán cổ phần lần đầu, gồm 04 doanh nghiệp :</w:t>
      </w:r>
    </w:p>
    <w:p>
      <w:r>
        <w:rPr>
          <w:b w:val="0"/>
          <w:i w:val="0"/>
        </w:rPr>
        <w:t>a) Thực hiện năm 2003 :</w:t>
      </w:r>
    </w:p>
    <w:p>
      <w:r>
        <w:rPr>
          <w:b w:val="0"/>
          <w:i w:val="0"/>
        </w:rPr>
        <w:t>- Xí nghiệp thiết bị y tế,</w:t>
      </w:r>
    </w:p>
    <w:p>
      <w:r>
        <w:rPr>
          <w:b w:val="0"/>
          <w:i w:val="0"/>
        </w:rPr>
        <w:t>- Công ty Thiết bị y tế Trung ương 2.</w:t>
      </w:r>
    </w:p>
    <w:p>
      <w:r>
        <w:rPr>
          <w:b w:val="0"/>
          <w:i w:val="0"/>
        </w:rPr>
        <w:t>b) Thực hiện năm 2005 :</w:t>
      </w:r>
    </w:p>
    <w:p>
      <w:r>
        <w:rPr>
          <w:b w:val="0"/>
          <w:i w:val="0"/>
        </w:rPr>
        <w:t>- Công ty Thiết bị y tế Trung ương 1,</w:t>
      </w:r>
    </w:p>
    <w:p>
      <w:r>
        <w:rPr>
          <w:b w:val="0"/>
          <w:i w:val="0"/>
        </w:rPr>
        <w:t>- Công ty Nhựa y tế.</w:t>
      </w:r>
    </w:p>
    <w:p>
      <w:r>
        <w:rPr>
          <w:b w:val="0"/>
          <w:i w:val="0"/>
        </w:rPr>
        <w:t>3. Doanh nghiệp thực hiện cổ phần hoá, trong đó Nhà n­ước giữ dưới 50% vốn điều lệ hoặc không nắm giữ cổ phần, gồm 05 doanh nghiệp :</w:t>
      </w:r>
    </w:p>
    <w:p>
      <w:r>
        <w:rPr>
          <w:b w:val="0"/>
          <w:i w:val="0"/>
        </w:rPr>
        <w:t>a) Thực hiện năm 2003 :</w:t>
      </w:r>
    </w:p>
    <w:p>
      <w:r>
        <w:rPr>
          <w:b w:val="0"/>
          <w:i w:val="0"/>
        </w:rPr>
        <w:t>- Xí nghiệp Dược phẩm Trung ương 3,</w:t>
      </w:r>
    </w:p>
    <w:p>
      <w:r>
        <w:rPr>
          <w:b w:val="0"/>
          <w:i w:val="0"/>
        </w:rPr>
        <w:t>- Công ty Dược phẩm Trung ương Huế,</w:t>
      </w:r>
    </w:p>
    <w:p>
      <w:r>
        <w:rPr>
          <w:b w:val="0"/>
          <w:i w:val="0"/>
        </w:rPr>
        <w:t>- Xí nghiệp Hoá dược.</w:t>
      </w:r>
    </w:p>
    <w:p>
      <w:r>
        <w:rPr>
          <w:b w:val="0"/>
          <w:i w:val="0"/>
        </w:rPr>
        <w:t>b) Thực hiện năm 2004 :</w:t>
      </w:r>
    </w:p>
    <w:p>
      <w:r>
        <w:rPr>
          <w:b w:val="0"/>
          <w:i w:val="0"/>
        </w:rPr>
        <w:t>Công ty Xây dựng y tế.</w:t>
      </w:r>
    </w:p>
    <w:p>
      <w:r>
        <w:rPr>
          <w:b w:val="0"/>
          <w:i w:val="0"/>
        </w:rPr>
        <w:t>c) Thực hiện năm 2005 :</w:t>
      </w:r>
    </w:p>
    <w:p>
      <w:r>
        <w:rPr>
          <w:b w:val="0"/>
          <w:i w:val="0"/>
        </w:rPr>
        <w:t>Công ty Thiết bị y tế Trung ương3.</w:t>
      </w:r>
    </w:p>
    <w:p>
      <w:r>
        <w:rPr>
          <w:b/>
          <w:i w:val="0"/>
        </w:rPr>
        <w:t>III. TỔNG CÔNG TY NHÀ NƯỚC :</w:t>
      </w:r>
    </w:p>
    <w:p>
      <w:r>
        <w:rPr>
          <w:b w:val="0"/>
          <w:i w:val="0"/>
        </w:rPr>
        <w:t>Giải thể cơ quan Tổng công ty Thiết bị y tế Việt Nam, sau khi đã hoàn thành việc chuyển đổi sở hữu các doanh nghiệp thành viên của Tổng công ty ./.</w:t>
      </w:r>
    </w:p>
    <w:p>
      <w:r>
        <w:rPr>
          <w:b w:val="0"/>
          <w:i w:val="0"/>
        </w:rPr>
        <w:br/>
      </w:r>
      <w:r>
        <w:rPr>
          <w:b w:val="0"/>
          <w:i w:val="0"/>
        </w:rPr>
        <w:br/>
      </w:r>
      <w:r>
        <w:rPr>
          <w:b/>
          <w:i w:val="0"/>
        </w:rPr>
        <w:br/>
      </w:r>
      <w:r>
        <w:rPr>
          <w:b/>
          <w:i w:val="0"/>
        </w:rPr>
        <w:br/>
        <w:t xml:space="preserve">      KT. THỦ TƯỚNG CHÍNH PHỦ </w:t>
        <w:br/>
        <w:t xml:space="preserve">      </w:t>
      </w:r>
      <w:r>
        <w:br/>
      </w:r>
      <w:r>
        <w:rPr>
          <w:b/>
          <w:i w:val="0"/>
        </w:rPr>
        <w:br/>
        <w:t xml:space="preserve">       PHÓ THỦ TƯỚNG CHÍNH PHỦ</w:t>
        <w:br/>
        <w:t xml:space="preserve">     </w:t>
      </w:r>
      <w:r>
        <w:rPr>
          <w:b/>
          <w:i w:val="0"/>
        </w:rPr>
        <w:br/>
      </w:r>
      <w:r>
        <w:rPr>
          <w:b/>
          <w:i/>
        </w:rPr>
        <w:br/>
        <w:t xml:space="preserve">      (Đã ký)</w:t>
        <w:br/>
        <w:t xml:space="preserve">     </w:t>
      </w:r>
      <w:r>
        <w:rPr>
          <w:b/>
          <w:i w:val="0"/>
        </w:rPr>
        <w:br/>
      </w:r>
      <w:r>
        <w:rPr>
          <w:b/>
          <w:i w:val="0"/>
        </w:rPr>
        <w:br/>
        <w:t xml:space="preserve">      Nguyễn Tấn Dũng</w:t>
        <w:br/>
        <w:t xml:space="preserve">     </w:t>
      </w:r>
      <w:r>
        <w:rPr>
          <w:b/>
          <w:i w:val="0"/>
        </w:rPr>
        <w:br/>
      </w:r>
      <w:r>
        <w:rPr>
          <w:b w:val="0"/>
          <w:i w:val="0"/>
        </w:rPr>
        <w:br/>
      </w:r>
      <w:r>
        <w:rPr>
          <w:b w:val="0"/>
          <w:i w:val="0"/>
        </w:rPr>
        <w:br/>
      </w:r>
    </w:p>
    <w:p>
      <w:r>
        <w:rPr>
          <w:b w:val="0"/>
          <w:i w:val="0"/>
        </w:rPr>
        <w:br/>
      </w:r>
      <w:r>
        <w:rPr>
          <w:b/>
          <w:i w:val="0"/>
        </w:rPr>
        <w:br/>
      </w:r>
      <w:r>
        <w:rPr>
          <w:b/>
          <w:i w:val="0"/>
        </w:rPr>
        <w:br/>
        <w:t xml:space="preserve">      KT. THỦ TƯỚNG CHÍNH PHỦ </w:t>
        <w:br/>
        <w:t xml:space="preserve">      </w:t>
      </w:r>
      <w:r>
        <w:br/>
      </w:r>
      <w:r>
        <w:rPr>
          <w:b/>
          <w:i w:val="0"/>
        </w:rPr>
        <w:br/>
        <w:t xml:space="preserve">       PHÓ THỦ TƯỚNG CHÍNH PHỦ</w:t>
        <w:br/>
        <w:t xml:space="preserve">     </w:t>
      </w:r>
      <w:r>
        <w:rPr>
          <w:b/>
          <w:i w:val="0"/>
        </w:rPr>
        <w:br/>
      </w:r>
      <w:r>
        <w:rPr>
          <w:b/>
          <w:i/>
        </w:rPr>
        <w:br/>
        <w:t xml:space="preserve">      (Đã ký)</w:t>
        <w:br/>
        <w:t xml:space="preserve">     </w:t>
      </w:r>
      <w:r>
        <w:rPr>
          <w:b/>
          <w:i w:val="0"/>
        </w:rPr>
        <w:br/>
      </w:r>
      <w:r>
        <w:rPr>
          <w:b/>
          <w:i w:val="0"/>
        </w:rPr>
        <w:br/>
        <w:t xml:space="preserve">      Nguyễn Tấn Dũng</w:t>
        <w:br/>
        <w:t xml:space="preserve">     </w:t>
      </w:r>
      <w:r>
        <w:rPr>
          <w:b/>
          <w:i w:val="0"/>
        </w:rPr>
        <w:br/>
      </w:r>
      <w:r>
        <w:rPr>
          <w:b w:val="0"/>
          <w:i w:val="0"/>
        </w:rPr>
        <w:br/>
      </w:r>
    </w:p>
    <w:p>
      <w:pPr>
        <w:jc w:val="center"/>
      </w:pPr>
      <w:r>
        <w:rPr>
          <w:b w:val="0"/>
          <w:i w:val="0"/>
        </w:rPr>
        <w:br/>
      </w:r>
      <w:r>
        <w:rPr>
          <w:b/>
          <w:i w:val="0"/>
        </w:rPr>
        <w:br/>
        <w:t xml:space="preserve">      KT. THỦ TƯỚNG CHÍNH PHỦ </w:t>
        <w:br/>
        <w:t xml:space="preserve">      </w:t>
      </w:r>
      <w:r>
        <w:br/>
      </w:r>
      <w:r>
        <w:rPr>
          <w:b/>
          <w:i w:val="0"/>
        </w:rPr>
        <w:br/>
        <w:t xml:space="preserve">       PHÓ THỦ TƯỚNG CHÍNH PHỦ</w:t>
        <w:br/>
        <w:t xml:space="preserve">     </w:t>
      </w:r>
      <w:r>
        <w:rPr>
          <w:b w:val="0"/>
          <w:i w:val="0"/>
        </w:rPr>
        <w:br/>
      </w:r>
      <w:r>
        <w:rPr>
          <w:b/>
          <w:i/>
        </w:rPr>
        <w:br/>
        <w:t xml:space="preserve">      (Đã ký)</w:t>
        <w:br/>
        <w:t xml:space="preserve">     </w:t>
      </w:r>
      <w:r>
        <w:rPr>
          <w:b w:val="0"/>
          <w:i w:val="0"/>
        </w:rPr>
        <w:br/>
      </w:r>
      <w:r>
        <w:rPr>
          <w:b/>
          <w:i w:val="0"/>
        </w:rPr>
        <w:br/>
        <w:t xml:space="preserve">      Nguyễn Tấn Dũng</w:t>
        <w:br/>
        <w:t xml:space="preserve">     </w:t>
      </w:r>
      <w:r>
        <w:rPr>
          <w:b w:val="0"/>
          <w:i w:val="0"/>
        </w:rPr>
        <w:br/>
      </w:r>
    </w:p>
    <w:p>
      <w:r>
        <w:rPr>
          <w:b w:val="0"/>
          <w:i w:val="0"/>
        </w:rPr>
        <w:br/>
        <w:t xml:space="preserve">      KT. THỦ TƯỚNG CHÍNH PHỦ </w:t>
        <w:br/>
        <w:t xml:space="preserve">      </w:t>
      </w:r>
      <w:r>
        <w:br/>
      </w:r>
      <w:r>
        <w:rPr>
          <w:b w:val="0"/>
          <w:i w:val="0"/>
        </w:rPr>
        <w:br/>
        <w:t xml:space="preserve">       PHÓ THỦ TƯỚNG CHÍNH PHỦ</w:t>
        <w:br/>
        <w:t xml:space="preserve">     </w:t>
      </w:r>
    </w:p>
    <w:p>
      <w:r>
        <w:rPr>
          <w:b w:val="0"/>
          <w:i w:val="0"/>
        </w:rPr>
        <w:br/>
        <w:t xml:space="preserve">      (Đã ký)</w:t>
        <w:br/>
        <w:t xml:space="preserve">     </w:t>
      </w:r>
    </w:p>
    <w:p>
      <w:r>
        <w:rPr>
          <w:b w:val="0"/>
          <w:i w:val="0"/>
        </w:rPr>
        <w:br/>
        <w:t xml:space="preserve">      Nguyễn Tấn Dũng</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