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117/2007/QĐ-UBND bổ sung chức năng, nhiệm vụ quản lý Nhà nước dự án đầu tư sân Golf 36 lỗ có diện tích 250ha của Công ty Liên doanh Phú Mỹ Hưng tại xã Phước Kiển huyện Nhà Bè cho Ban Quản lý đầu tư và xây dựng Khu đô thị mới Nam thành phố Hồ Chí Minh do UBND TP. Hồ Chí Minh ban hành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THÀNH PHỐ HỒ CHÍ MINH </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117/2007/QĐ-UBND</w:t>
      </w:r>
      <w:r>
        <w:rPr>
          <w:b w:val="0"/>
          <w:i w:val="0"/>
        </w:rPr>
        <w:br/>
      </w:r>
      <w:r>
        <w:rPr>
          <w:b w:val="0"/>
          <w:i w:val="0"/>
        </w:rPr>
        <w:br/>
      </w:r>
      <w:r>
        <w:rPr>
          <w:b w:val="0"/>
          <w:i/>
        </w:rPr>
        <w:t>TP. Hồ Chí Minh, ngày  07 tháng 9 năm 2007</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THÀNH PHỐ HỒ CHÍ MINH </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117/2007/QĐ-UBND</w:t>
      </w:r>
      <w:r>
        <w:rPr>
          <w:b w:val="0"/>
          <w:i w:val="0"/>
        </w:rPr>
        <w:br/>
      </w:r>
      <w:r>
        <w:rPr>
          <w:b w:val="0"/>
          <w:i w:val="0"/>
        </w:rPr>
        <w:br/>
      </w:r>
      <w:r>
        <w:rPr>
          <w:b w:val="0"/>
          <w:i/>
        </w:rPr>
        <w:t>TP. Hồ Chí Minh, ngày  07 tháng 9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THÀNH PHỐ HỒ CHÍ MINH </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pPr>
        <w:jc w:val="center"/>
      </w:pPr>
      <w:r>
        <w:rPr>
          <w:b/>
          <w:i w:val="0"/>
        </w:rPr>
        <w:t>QUYẾT ĐỊNH</w:t>
      </w:r>
    </w:p>
    <w:p>
      <w:pPr>
        <w:jc w:val="center"/>
      </w:pPr>
      <w:r>
        <w:rPr>
          <w:b w:val="0"/>
          <w:i w:val="0"/>
        </w:rPr>
        <w:t>VỀ BỔ SUNG CHỨC NĂNG, NHIỆM VỤ QUẢN LÝ NHÀ NƯỚC DỰ ÁN ĐẦU TƯ SÂN</w:t>
      </w:r>
    </w:p>
    <w:p>
      <w:pPr>
        <w:jc w:val="center"/>
      </w:pPr>
      <w:r>
        <w:rPr>
          <w:b w:val="0"/>
          <w:i w:val="0"/>
        </w:rPr>
        <w:t xml:space="preserve"> GOLF 36 LỖ CÓ DIỆN TÍCH 250HA CỦA CÔNG TY LIÊN DOANH PHÚ MỸ HƯNG TẠI </w:t>
      </w:r>
    </w:p>
    <w:p>
      <w:pPr>
        <w:jc w:val="center"/>
      </w:pPr>
      <w:r>
        <w:rPr>
          <w:b w:val="0"/>
          <w:i w:val="0"/>
        </w:rPr>
        <w:t xml:space="preserve">XÃ PHƯỚC KIỂN HUYỆN NHÀ BÈ CHO BAN QUẢN LÝ ĐẦU TƯ VÀ XÂY DỰNG KHU </w:t>
      </w:r>
    </w:p>
    <w:p>
      <w:pPr>
        <w:jc w:val="center"/>
      </w:pPr>
      <w:r>
        <w:rPr>
          <w:b w:val="0"/>
          <w:i w:val="0"/>
        </w:rPr>
        <w:t>ĐÔ THỊ MỚI NAM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 xml:space="preserve">Căn cứ Nghị định số 93/2001/NĐ-CP ngày 12 tháng 12 năm 2001 của Chính phủ về phân cấp quản lý một số lĩnh vực cho thành phố Hồ Chí Minh; </w:t>
      </w:r>
    </w:p>
    <w:p>
      <w:r>
        <w:rPr>
          <w:b w:val="0"/>
          <w:i/>
        </w:rPr>
        <w:t>Căn cứ Nghị định số 08/2005/NĐ-CP ngày 24 tháng 01 năm 2005 của Chính phủ về quy hoạch xây dựng;</w:t>
      </w:r>
    </w:p>
    <w:p>
      <w:r>
        <w:rPr>
          <w:b w:val="0"/>
          <w:i/>
        </w:rPr>
        <w:t>Căn cứ Nghị định số 16/2005/NĐ-CP ngày 07 tháng 02 năm 2005 của Chính phủ về quản lý dự án đầu tư xây dựng công trình;</w:t>
      </w:r>
    </w:p>
    <w:p>
      <w:r>
        <w:rPr>
          <w:b w:val="0"/>
          <w:i/>
        </w:rPr>
        <w:t xml:space="preserve">Căn cứ Quyết định số 751/TTg ngày 11 tháng 9 năm 1997 của Thủ tướng Chính phủ về việc thành lập Ban Quản lý đầu tư và xây dựng Khu đô thị mới Nam thành phố Hồ Chí Minh; </w:t>
      </w:r>
    </w:p>
    <w:p>
      <w:r>
        <w:rPr>
          <w:b w:val="0"/>
          <w:i/>
        </w:rPr>
        <w:t>Căn cứ Quyết định số 96/2006/QĐ-UBND ngày 10 tháng 7 năm 2006 của Ủy ban nhân dân thành phố về ban hành Quy chế tổ chức và hoạt động của Ban Quản lý đầu tư và xây dựng Khu đô thị mới Nam thành phố Hồ Chí Minh;</w:t>
      </w:r>
    </w:p>
    <w:p>
      <w:r>
        <w:rPr>
          <w:b w:val="0"/>
          <w:i/>
        </w:rPr>
        <w:t>Xét đề nghị của Giám đốc Sở Nội vụ tại Tờ trình số 551/TTr-SNV ngày 06 tháng 8 năm 2007,</w:t>
      </w:r>
    </w:p>
    <w:p>
      <w:pPr>
        <w:jc w:val="center"/>
      </w:pPr>
      <w:r>
        <w:rPr>
          <w:b/>
          <w:i w:val="0"/>
        </w:rPr>
        <w:t>QUYẾT ĐỊNH:</w:t>
      </w:r>
    </w:p>
    <w:p>
      <w:r>
        <w:rPr>
          <w:b/>
          <w:i w:val="0"/>
        </w:rPr>
        <w:t xml:space="preserve">Điều 1. </w:t>
      </w:r>
      <w:r>
        <w:rPr>
          <w:b w:val="0"/>
          <w:i w:val="0"/>
        </w:rPr>
        <w:t>Nay bổ sung chức năng, nhiệm vụ quản lý Nhà nước dự án đầu tư sân Golf 36 lỗ có diện tích 250ha của Công ty Liên doanh Phú Mỹ Hưng tại xã Phước Kiển huyện Nhà Bè cho Ban Quản lý đầu tư và xây dựng Khu đô thị mới Nam thành phố Hồ Chí Minh (gọi tắt là Ban Quản lý khu Nam).</w:t>
      </w:r>
    </w:p>
    <w:p>
      <w:r>
        <w:rPr>
          <w:b/>
          <w:i w:val="0"/>
        </w:rPr>
        <w:t xml:space="preserve">Điều 2. </w:t>
      </w:r>
      <w:r>
        <w:rPr>
          <w:b w:val="0"/>
          <w:i w:val="0"/>
        </w:rPr>
        <w:t>Trưởng Ban Quản lý khu Nam tổ chức thực hiện chức năng, nhiệm vụ quản lý dự án đầu tư được bổ sung theo đúng quy định tại Điều 3 của Quyết định số 751/TTg ngày 11 tháng 9 năm 1997 của Thủ tướng Chính phủ về việc thành lập Ban Quản lý đầu tư và xây dựng Khu đô thị mới Nam thành phố Hồ Chí Minh.</w:t>
      </w:r>
    </w:p>
    <w:p>
      <w:r>
        <w:rPr>
          <w:b/>
          <w:i w:val="0"/>
        </w:rPr>
        <w:t xml:space="preserve">Điều 3. </w:t>
      </w:r>
      <w:r>
        <w:rPr>
          <w:b w:val="0"/>
          <w:i w:val="0"/>
        </w:rPr>
        <w:t>Trưởng Ban Quản lý khu Nam có trách nhiệm chỉnh sửa Quy chế tổ chức và hoạt động của Ban Quản lý khu Nam phù hợp với chức năng, nhiệm vụ mới được bổ sung, thông qua Sở Nội vụ thẩm định, trình Ủy ban nhân dân thành phố xem xét, duyệt ký ban hành.</w:t>
      </w:r>
    </w:p>
    <w:p>
      <w:r>
        <w:rPr>
          <w:b/>
          <w:i w:val="0"/>
        </w:rPr>
        <w:t xml:space="preserve">Điều 4. </w:t>
      </w:r>
      <w:r>
        <w:rPr>
          <w:b w:val="0"/>
          <w:i w:val="0"/>
        </w:rPr>
        <w:t>Quyết định này có hiệu lực thi hành sau 10 ngày kể từ ngày ký.</w:t>
      </w:r>
    </w:p>
    <w:p>
      <w:r>
        <w:rPr>
          <w:b/>
          <w:i w:val="0"/>
        </w:rPr>
        <w:t xml:space="preserve">Điều 5. </w:t>
      </w:r>
      <w:r>
        <w:rPr>
          <w:b w:val="0"/>
          <w:i w:val="0"/>
        </w:rPr>
        <w:t>Chánh Văn phòng Hội đồng nhân dân và Ủy ban nhân dân thành phố, Giám đốc Sở Nội vụ, Trưởng Ban Quản lý khu Nam, Thủ trưởng các Sở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br/>
            </w:r>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