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119/2005/QĐ-TTg Về việc điều chỉnh hình thức sắp xếp đối với một số công ty nhà nước thuộc Uỷ ban nhân dân tỉnh Quảng Bình</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119/2005/QĐ-TTg</w:t>
      </w:r>
      <w:r>
        <w:rPr>
          <w:b w:val="0"/>
          <w:i w:val="0"/>
        </w:rPr>
        <w:br/>
      </w:r>
      <w:r>
        <w:rPr>
          <w:b w:val="0"/>
          <w:i w:val="0"/>
        </w:rPr>
        <w:br/>
      </w:r>
      <w:r>
        <w:rPr>
          <w:b w:val="0"/>
          <w:i/>
        </w:rPr>
        <w:br/>
      </w:r>
      <w:r>
        <w:rPr>
          <w:b w:val="0"/>
          <w:i/>
        </w:rPr>
        <w:t>Hà Nội, ngày 27 tháng 5 năm 2005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119/2005/QĐ-TTg</w:t>
      </w:r>
      <w:r>
        <w:rPr>
          <w:b w:val="0"/>
          <w:i w:val="0"/>
        </w:rPr>
        <w:br/>
      </w:r>
      <w:r>
        <w:rPr>
          <w:b w:val="0"/>
          <w:i w:val="0"/>
        </w:rPr>
        <w:br/>
      </w:r>
      <w:r>
        <w:rPr>
          <w:b w:val="0"/>
          <w:i/>
        </w:rPr>
        <w:br/>
      </w:r>
      <w:r>
        <w:rPr>
          <w:b w:val="0"/>
          <w:i/>
        </w:rPr>
        <w:t>Hà Nội, ngày 27 tháng 5 năm 2005</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119/2005/QĐ-TTg</w:t>
      </w:r>
      <w:r>
        <w:rPr>
          <w:b w:val="0"/>
          <w:i w:val="0"/>
        </w:rPr>
        <w:br/>
      </w:r>
      <w:r>
        <w:rPr>
          <w:b w:val="0"/>
          <w:i w:val="0"/>
        </w:rPr>
        <w:br/>
      </w:r>
      <w:r>
        <w:rPr>
          <w:b w:val="0"/>
          <w:i/>
        </w:rPr>
        <w:br/>
      </w:r>
      <w:r>
        <w:rPr>
          <w:b w:val="0"/>
          <w:i/>
        </w:rPr>
        <w:t>Hà Nội, ngày 27 tháng 5 năm 2005</w:t>
      </w:r>
      <w:r>
        <w:rPr>
          <w:b w:val="0"/>
          <w:i/>
        </w:rPr>
        <w:br/>
      </w:r>
      <w:r>
        <w:rPr>
          <w:b w:val="0"/>
          <w:i w:val="0"/>
        </w:rPr>
        <w:br/>
      </w:r>
    </w:p>
    <w:p>
      <w:pPr>
        <w:jc w:val="center"/>
      </w:pPr>
      <w:r>
        <w:rPr>
          <w:b w:val="0"/>
          <w:i w:val="0"/>
        </w:rPr>
        <w:br/>
      </w:r>
      <w:r>
        <w:rPr>
          <w:b w:val="0"/>
          <w:i w:val="0"/>
        </w:rPr>
        <w:t>Số: 119/2005/QĐ-TTg</w:t>
      </w:r>
      <w:r>
        <w:rPr>
          <w:b w:val="0"/>
          <w:i w:val="0"/>
        </w:rPr>
        <w:br/>
      </w:r>
    </w:p>
    <w:p>
      <w:pPr>
        <w:jc w:val="center"/>
      </w:pPr>
      <w:r>
        <w:rPr>
          <w:b w:val="0"/>
          <w:i w:val="0"/>
        </w:rPr>
        <w:br/>
      </w:r>
      <w:r>
        <w:rPr>
          <w:b w:val="0"/>
          <w:i w:val="0"/>
        </w:rPr>
        <w:t>Hà Nội, ngày 27 tháng 5 năm 2005</w:t>
      </w:r>
      <w:r>
        <w:rPr>
          <w:b w:val="0"/>
          <w:i w:val="0"/>
        </w:rPr>
        <w:br/>
      </w:r>
    </w:p>
    <w:p>
      <w:r>
        <w:rPr>
          <w:b/>
          <w:i w:val="0"/>
        </w:rPr>
        <w:t>QUYẾT ĐỊNH</w:t>
      </w:r>
    </w:p>
    <w:p>
      <w:r>
        <w:rPr>
          <w:b/>
          <w:i w:val="0"/>
        </w:rPr>
        <w:t xml:space="preserve">Về việc điều chỉnh hình thức sắp xếp đối với </w:t>
      </w:r>
    </w:p>
    <w:p>
      <w:r>
        <w:rPr>
          <w:b/>
          <w:i w:val="0"/>
        </w:rPr>
        <w:t>một số công ty nhà nước thuộc Uỷ ban nhân dân tỉnh Quảng Bình</w:t>
      </w:r>
    </w:p>
    <w:p>
      <w:r>
        <w:rPr>
          <w:b/>
          <w:i w:val="0"/>
        </w:rPr>
        <w:t>THỦ TƯỚNG CHÍNH PHỦ</w:t>
      </w:r>
    </w:p>
    <w:p>
      <w:r>
        <w:rPr>
          <w:b w:val="0"/>
          <w:i/>
        </w:rPr>
        <w:t>Căn cứ Luật Tổ chức Chính phủ ngày 25 tháng 12 năm 2001;</w:t>
      </w:r>
    </w:p>
    <w:p>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r>
        <w:rPr>
          <w:b w:val="0"/>
          <w:i/>
        </w:rPr>
        <w:t xml:space="preserve">Xét đề nghị của Uỷ ban nhân dân tỉnh Quảng Bình (công văn số 593/UB ngày 20 tháng 4 năm 2005, </w:t>
      </w:r>
    </w:p>
    <w:p>
      <w:r>
        <w:rPr>
          <w:b/>
          <w:i w:val="0"/>
        </w:rPr>
        <w:t>QUYẾT ĐỊNH:</w:t>
      </w:r>
    </w:p>
    <w:p>
      <w:r>
        <w:rPr>
          <w:b/>
          <w:i w:val="0"/>
        </w:rPr>
        <w:t>Điều 1.</w:t>
      </w:r>
      <w:r>
        <w:rPr>
          <w:b w:val="0"/>
          <w:i w:val="0"/>
        </w:rPr>
        <w:t xml:space="preserve"> Điều chỉnh hình thức và thời gian sắp xếp đối với một số công ty nhà nước thuộc Uỷ ban nhân dân tỉnh Quảng Bình như Phụ lục kèm theo.</w:t>
      </w:r>
    </w:p>
    <w:p>
      <w:r>
        <w:rPr>
          <w:b w:val="0"/>
          <w:i w:val="0"/>
        </w:rPr>
        <w:t>Công ty Lâm công nghiệp Long Đại, Công ty Lâm công nghiệp Bắc Quảng Bình thực hiện sắp xếp theo Nghị định số 200/2004/NĐ-CP ngày 03 tháng 12 năm 2004 của Chính phủ về sắp xếp, đổi mới và phát triển lâm trường quốc doanh. Công ty Cao su Việt Trung, Công ty Cao su Lệ Ninh thực hiện sắp xếp theo Nghị định số 170/2004/NĐ-CP ngày 22 tháng 9 năm 2004 của Chính phủ về sắp xếp, đổi mới và phát triển nông trường quốc doanh.</w:t>
      </w:r>
    </w:p>
    <w:p>
      <w:r>
        <w:rPr>
          <w:b/>
          <w:i w:val="0"/>
        </w:rPr>
        <w:t xml:space="preserve">Điều 2. </w:t>
      </w:r>
      <w:r>
        <w:rPr>
          <w:b w:val="0"/>
          <w:i w:val="0"/>
        </w:rPr>
        <w:t>Chủ tịch Uỷ ban nhân dân tỉnh Quảng Bình:</w:t>
      </w:r>
    </w:p>
    <w:p>
      <w:r>
        <w:rPr>
          <w:b w:val="0"/>
          <w:i w:val="0"/>
        </w:rPr>
        <w:t>1. Chỉ đạo thực hiện việc sắp xếp, đổi mới công ty nhà nước trực thuộc đã được phê duyệt tại Quyết định số 264/QĐ-TTg ngày 10 tháng 3 năm 2003 và Quyết định này.</w:t>
      </w:r>
    </w:p>
    <w:p>
      <w:r>
        <w:rPr>
          <w:b w:val="0"/>
          <w:i w:val="0"/>
        </w:rPr>
        <w:t xml:space="preserve">Đối với những doanh nghiệp không cổ phần hóa được thì chủ động chuyển sang một trong các hình thức: bán đấu giá, giải thể, phá sản và báo cáo </w:t>
      </w:r>
      <w:r>
        <w:rPr>
          <w:b w:val="0"/>
          <w:i w:val="0"/>
        </w:rPr>
        <w:t>Thủ tướng Chính phủ.</w:t>
      </w:r>
    </w:p>
    <w:p>
      <w:r>
        <w:rPr>
          <w:b w:val="0"/>
          <w:i w:val="0"/>
        </w:rPr>
        <w:t>2. Căn cứ quy định hiện hành và thực trạng của doanh nghiệp, quyết định tỷ lệ cổ phần do Nhà nước nắm giữ khi bán cổ phần lần đầu tại từng công ty.</w:t>
      </w:r>
    </w:p>
    <w:p>
      <w:r>
        <w:rPr>
          <w:b/>
          <w:i w:val="0"/>
        </w:rPr>
        <w:t xml:space="preserve">Điều 3. </w:t>
      </w:r>
      <w:r>
        <w:rPr>
          <w:b w:val="0"/>
          <w:i w:val="0"/>
        </w:rPr>
        <w:t>Các Bộ: Tài chính, Kế hoạch và Đầu tư, Lao động - Thương binh và Xã hội, Nội vụ và các Bộ liên quan có trách nhiệm phối hợp với Uỷ ban nhân dân tỉnh Quảng bình trong thực hiện phương án này.</w:t>
      </w:r>
    </w:p>
    <w:p>
      <w:r>
        <w:rPr>
          <w:b w:val="0"/>
          <w:i w:val="0"/>
        </w:rPr>
        <w:t xml:space="preserve">Ban Chỉ đạo Đổi mới và Phát triển doanh nghiệp chịu trách nhiệm đôn đốc, hướng dẫn và theo dõi việc thực hiện phương án này, đồng thời kiến nghị với </w:t>
      </w:r>
      <w:r>
        <w:rPr>
          <w:b w:val="0"/>
          <w:i w:val="0"/>
        </w:rPr>
        <w:t>Thủ tướng Chính phủ các giải pháp tháo gỡ khó khăn trong quá trình thực hiện.</w:t>
      </w:r>
    </w:p>
    <w:p>
      <w:r>
        <w:rPr>
          <w:b/>
          <w:i w:val="0"/>
        </w:rPr>
        <w:t>Điều 4.</w:t>
      </w:r>
      <w:r>
        <w:rPr>
          <w:b w:val="0"/>
          <w:i w:val="0"/>
        </w:rPr>
        <w:t xml:space="preserve"> Quyết định này có hiệu lực sau 15 ngày, kể từ ngày đăng Công báo.</w:t>
      </w:r>
    </w:p>
    <w:p>
      <w:r>
        <w:rPr>
          <w:b w:val="0"/>
          <w:i w:val="0"/>
        </w:rPr>
        <w:t>Chủ tịch Uỷ ban nhân dân tỉnh Quảng Bình và Thủ trưởng các cơ quan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THỦ TƯỚNG CHÍNH PHỦ</w:t>
            </w:r>
            <w:r>
              <w:rPr>
                <w:b w:val="0"/>
                <w:i w:val="0"/>
              </w:rPr>
              <w:br/>
            </w:r>
            <w:r>
              <w:rPr>
                <w:b/>
                <w:i w:val="0"/>
              </w:rPr>
              <w:t>PHÓ THỦ TƯỚNG</w:t>
            </w:r>
            <w:r>
              <w:rPr>
                <w:b w:val="0"/>
                <w:i w:val="0"/>
              </w:rPr>
              <w:br/>
            </w:r>
            <w:r>
              <w:rPr>
                <w:b/>
                <w:i/>
              </w:rPr>
              <w:t>(Đã ký)</w:t>
            </w:r>
            <w:r>
              <w:rPr>
                <w:b w:val="0"/>
                <w:i w:val="0"/>
              </w:rPr>
              <w:br/>
            </w:r>
            <w:r>
              <w:rPr>
                <w:b/>
                <w:i w:val="0"/>
              </w:rPr>
              <w:t>Nguyễn Tấn Dũng</w:t>
            </w:r>
          </w:p>
        </w:tc>
      </w:tr>
    </w:tbl>
    <w:p>
      <w:r>
        <w:rPr>
          <w:b/>
          <w:i w:val="0"/>
        </w:rPr>
        <w:t>PHỤ LỤC DANH MỤC CÔNG TY NHÀ NƯỚC TRỰC THUỘC UỶ BAN</w:t>
      </w:r>
    </w:p>
    <w:p>
      <w:r>
        <w:rPr>
          <w:b/>
          <w:i w:val="0"/>
        </w:rPr>
        <w:t>NHÂN DÂN TỈNH QUẢNG BÌNH ĐƯỢC ĐIỀU CHỈNH HÌNH THỨC</w:t>
      </w:r>
    </w:p>
    <w:p>
      <w:r>
        <w:rPr>
          <w:b/>
          <w:i w:val="0"/>
        </w:rPr>
        <w:t xml:space="preserve">VÀ THỜI GIAN SẮP XẾP </w:t>
      </w:r>
    </w:p>
    <w:p>
      <w:r>
        <w:rPr>
          <w:b w:val="0"/>
          <w:i/>
        </w:rPr>
        <w:t>(Ban hành kèm theo Quyết định số 119/2005/QĐ-TTg</w:t>
      </w:r>
      <w:r>
        <w:br/>
      </w:r>
      <w:r>
        <w:rPr>
          <w:b w:val="0"/>
          <w:i/>
        </w:rPr>
        <w:br/>
        <w:t xml:space="preserve">      ngày 27 tháng 5 năm 2005 của Thủ tướng Chính phủ)</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Tên doanh nghiệp</w:t>
            </w:r>
          </w:p>
        </w:tc>
        <w:tc>
          <w:tcPr>
            <w:tcW w:type="dxa" w:w="1728"/>
          </w:tcPr>
          <w:p>
            <w:r>
              <w:rPr>
                <w:b w:val="0"/>
                <w:i w:val="0"/>
              </w:rPr>
              <w:br/>
            </w:r>
            <w:r>
              <w:rPr>
                <w:b w:val="0"/>
                <w:i w:val="0"/>
              </w:rPr>
              <w:t>Hình thức sắp xếp theo QĐ số 264/QĐ-TTg ngày 10/3/2003</w:t>
            </w:r>
          </w:p>
        </w:tc>
        <w:tc>
          <w:tcPr>
            <w:tcW w:type="dxa" w:w="1728"/>
          </w:tcPr>
          <w:p>
            <w:r>
              <w:rPr>
                <w:b w:val="0"/>
                <w:i w:val="0"/>
              </w:rPr>
              <w:br/>
            </w:r>
            <w:r>
              <w:rPr>
                <w:b w:val="0"/>
                <w:i w:val="0"/>
              </w:rPr>
              <w:t>Nay điều chỉnh hình thức sắp xếp</w:t>
            </w:r>
          </w:p>
        </w:tc>
        <w:tc>
          <w:tcPr>
            <w:tcW w:type="dxa" w:w="1728"/>
          </w:tcPr>
          <w:p>
            <w:r>
              <w:rPr>
                <w:b w:val="0"/>
                <w:i w:val="0"/>
              </w:rPr>
              <w:br/>
            </w:r>
            <w:r>
              <w:rPr>
                <w:b w:val="0"/>
                <w:i w:val="0"/>
              </w:rPr>
              <w:t>Thời gian thực hiện</w:t>
            </w:r>
          </w:p>
        </w:tc>
      </w:tr>
    </w:tbl>
    <w:p>
      <w:r>
        <w:rPr>
          <w:b w:val="0"/>
          <w:i w:val="0"/>
        </w:rPr>
        <w:br/>
      </w:r>
      <w:r>
        <w:rPr>
          <w:b w:val="0"/>
          <w:i w:val="0"/>
        </w:rPr>
        <w:br/>
      </w:r>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