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11/2003/QĐ-UB Về việc ban hành quy định về lắp đặt mới, cải tạo và quản lý hệ thống đèn chiếu sáng dân lập trên địa bàn thành phố Hồ Chí Minh</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11/2003/QĐ-UB</w:t>
        <w:br/>
        <w:t xml:space="preserve">    </w:t>
      </w:r>
      <w:r>
        <w:rPr>
          <w:b w:val="0"/>
          <w:i w:val="0"/>
        </w:rPr>
        <w:br/>
      </w:r>
      <w:r>
        <w:rPr>
          <w:b w:val="0"/>
          <w:i/>
        </w:rPr>
        <w:br/>
        <w:t xml:space="preserve">     TP. Hồ Chí Minh, ngày 23 tháng 01 năm 2003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11/2003/QĐ-UB</w:t>
        <w:br/>
        <w:t xml:space="preserve">    </w:t>
      </w:r>
      <w:r>
        <w:rPr>
          <w:b w:val="0"/>
          <w:i w:val="0"/>
        </w:rPr>
        <w:br/>
      </w:r>
      <w:r>
        <w:rPr>
          <w:b w:val="0"/>
          <w:i/>
        </w:rPr>
        <w:br/>
        <w:t xml:space="preserve">     TP. Hồ Chí Minh, ngày 23 tháng 01 năm 2003</w:t>
        <w:br/>
        <w:t xml:space="preserve">    </w:t>
      </w:r>
      <w:r>
        <w:rPr>
          <w:b w:val="0"/>
          <w:i w:val="0"/>
        </w:rPr>
        <w:br/>
      </w:r>
    </w:p>
    <w:p>
      <w:pPr>
        <w:jc w:val="center"/>
      </w:pPr>
      <w:r>
        <w:rPr>
          <w:b w:val="0"/>
          <w:i w:val="0"/>
        </w:rPr>
        <w:br/>
        <w:t xml:space="preserve">     Số: 11/2003/QĐ-UB</w:t>
        <w:br/>
        <w:t xml:space="preserve">    </w:t>
      </w:r>
    </w:p>
    <w:p>
      <w:pPr>
        <w:jc w:val="center"/>
      </w:pPr>
      <w:r>
        <w:rPr>
          <w:b w:val="0"/>
          <w:i w:val="0"/>
        </w:rPr>
        <w:br/>
        <w:t xml:space="preserve">     TP. Hồ Chí Minh, ngày 23 tháng 01 năm 2003</w:t>
        <w:br/>
        <w:t xml:space="preserve">    </w:t>
      </w:r>
    </w:p>
    <w:p>
      <w:r>
        <w:rPr>
          <w:b/>
          <w:i w:val="0"/>
        </w:rPr>
        <w:t>QUYẾT ĐỊNH CỦA ỦY BAN NHÂN DÂN THÀNH PHỐ</w:t>
      </w:r>
    </w:p>
    <w:p>
      <w:r>
        <w:rPr>
          <w:b/>
          <w:i w:val="0"/>
        </w:rPr>
        <w:t>Về việc ban hành quy định về lắp đặt mới, cải tạo và quản lý hệ thống</w:t>
      </w:r>
    </w:p>
    <w:p>
      <w:r>
        <w:rPr>
          <w:b/>
          <w:i w:val="0"/>
        </w:rPr>
        <w:t>đèn chiếu sáng dân lập trên địa bàn thành phố Hồ Chí Minh.</w:t>
      </w:r>
    </w:p>
    <w:p>
      <w:r>
        <w:rPr>
          <w:b/>
          <w:i w:val="0"/>
        </w:rPr>
        <w:t>___________________</w:t>
      </w:r>
    </w:p>
    <w:p>
      <w:r>
        <w:rPr>
          <w:b/>
          <w:i w:val="0"/>
        </w:rPr>
        <w:t>ỦY BAN NHÂN DÂN THÀNH PHỐ HỒ CHÍ MINH</w:t>
      </w:r>
    </w:p>
    <w:p>
      <w:pPr>
        <w:jc w:val="both"/>
      </w:pPr>
      <w:r>
        <w:rPr>
          <w:b w:val="0"/>
          <w:i/>
        </w:rPr>
        <w:t>Căn cứ Luật tổ chức Hội đồng nhân dân và Ủy ban nhân dân ngày 21 tháng 6 năm 1994 ;</w:t>
      </w:r>
    </w:p>
    <w:p>
      <w:pPr>
        <w:jc w:val="both"/>
      </w:pPr>
      <w:r>
        <w:rPr>
          <w:b w:val="0"/>
          <w:i/>
        </w:rPr>
        <w:t xml:space="preserve">Căn cứ Pháp lệnh Xử lý vi phạm hành chính ngày 02 tháng 7 năm 2002; </w:t>
      </w:r>
    </w:p>
    <w:p>
      <w:pPr>
        <w:jc w:val="both"/>
      </w:pPr>
      <w:r>
        <w:rPr>
          <w:b w:val="0"/>
          <w:i/>
        </w:rPr>
        <w:t>Căn cứ Nghị định số 48/CP ngày 05 tháng 5 năm 1997 của Chính phủ về xử phạt vi phạm hành chính trong quản lý xây dựng, quản lý nhà và công trình kỹ thuật hạ tầng đô thị ;</w:t>
      </w:r>
    </w:p>
    <w:p>
      <w:pPr>
        <w:jc w:val="both"/>
      </w:pPr>
      <w:r>
        <w:rPr>
          <w:b w:val="0"/>
          <w:i/>
        </w:rPr>
        <w:t xml:space="preserve">Căn cứ Nghị định số 45/2001/NĐ-CP ngày 02 tháng 8 năm 2001 của Chính phủ về hoạt động điện lực và sử dụng điện ; </w:t>
      </w:r>
    </w:p>
    <w:p>
      <w:pPr>
        <w:jc w:val="both"/>
      </w:pPr>
      <w:r>
        <w:rPr>
          <w:b w:val="0"/>
          <w:i/>
        </w:rPr>
        <w:t>Căn cứ Nghị định số 93/2001/NĐ-CP ngày 12 tháng 12 năm 2001 của Chính phủ về phân cấp quản lý một số lĩnh vực cho thành phố Hồ Chí Minh ;</w:t>
      </w:r>
      <w:r>
        <w:br/>
      </w:r>
      <w:r>
        <w:rPr>
          <w:b w:val="0"/>
          <w:i/>
        </w:rPr>
        <w:br/>
        <w:t xml:space="preserve">     Theo đề nghị của Sở Tài chánh-Vật giá, Sở Giao thông Công chánh và Công ty Điện lực thành phố tại Công văn 3295/CV-LCQ-2002 ngày 24 tháng 9 năm 2002 ; ý kiến của Sở Tư pháp (công văn số 1739/STP-VB ngày 03 tháng 12 năm 2002) ; đề nghị của Sở Giao thông Công chánh tại công văn số 05/GT-TTPC ngày 06 tháng 01 năm 2003; </w:t>
      </w:r>
    </w:p>
    <w:p>
      <w:r>
        <w:rPr>
          <w:b/>
          <w:i w:val="0"/>
        </w:rPr>
        <w:t xml:space="preserve">QUYẾT ĐỊNH </w:t>
      </w:r>
    </w:p>
    <w:p>
      <w:r>
        <w:rPr>
          <w:b/>
          <w:i w:val="0"/>
        </w:rPr>
        <w:t xml:space="preserve">Điều 1. </w:t>
      </w:r>
      <w:r>
        <w:rPr>
          <w:b w:val="0"/>
          <w:i w:val="0"/>
        </w:rPr>
        <w:t>- Nay ban hành kèm theo Quyết định này Quy định việc lắp đặt mới, cải tạo và quản lý hệ thống đèn chiếu sáng dân lập trên địa bàn thành phố Hồ Chí Minh.</w:t>
      </w:r>
    </w:p>
    <w:p>
      <w:r>
        <w:rPr>
          <w:b/>
          <w:i w:val="0"/>
        </w:rPr>
        <w:t xml:space="preserve">Điều 2. </w:t>
      </w:r>
      <w:r>
        <w:rPr>
          <w:b w:val="0"/>
          <w:i w:val="0"/>
        </w:rPr>
        <w:t>- Quyết định này có hiệu lực thi hành sau 15 ngày kể từ ngày ký.</w:t>
      </w:r>
    </w:p>
    <w:p>
      <w:r>
        <w:rPr>
          <w:b/>
          <w:i w:val="0"/>
        </w:rPr>
        <w:t xml:space="preserve">Điều 3. </w:t>
      </w:r>
      <w:r>
        <w:rPr>
          <w:b w:val="0"/>
          <w:i w:val="0"/>
        </w:rPr>
        <w:t>- Chánh Văn phòng Hội đồng nhân dân và Ủy ban nhân dân thành phố, Giám đốc Sở Giao thông Công chánh, Sở Tài chánh-Vật giá, Công ty Điện lực thành phố, Thủ trưởng các sở, ban ngành thành phố, Chủ tịch Ủy ban nhân dân các quận-huyện và các tổ chức, cá nhân có liên quan chịu trách nhiệm thi hành Quyết định này./.</w:t>
      </w:r>
    </w:p>
    <w:p>
      <w:r>
        <w:rPr>
          <w:b w:val="0"/>
          <w:i w:val="0"/>
        </w:rPr>
        <w:br/>
      </w:r>
      <w:r>
        <w:rPr>
          <w:b/>
          <w:i w:val="0"/>
        </w:rPr>
        <w:br/>
      </w:r>
      <w:r>
        <w:rPr>
          <w:b/>
          <w:i w:val="0"/>
        </w:rPr>
        <w:br/>
        <w:t xml:space="preserve">     TM. ỦY BAN NHÂN DÂN THÀNH PHỐ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Vũ Hùng Việt</w:t>
        <w:br/>
        <w:t xml:space="preserve">    </w:t>
      </w:r>
      <w:r>
        <w:rPr>
          <w:b/>
          <w:i w:val="0"/>
        </w:rPr>
        <w:br/>
      </w:r>
      <w:r>
        <w:rPr>
          <w:b w:val="0"/>
          <w:i w:val="0"/>
        </w:rPr>
        <w:br/>
      </w:r>
    </w:p>
    <w:p>
      <w:pPr>
        <w:jc w:val="center"/>
      </w:pPr>
      <w:r>
        <w:rPr>
          <w:b w:val="0"/>
          <w:i w:val="0"/>
        </w:rPr>
        <w:br/>
      </w:r>
      <w:r>
        <w:rPr>
          <w:b/>
          <w:i w:val="0"/>
        </w:rPr>
        <w:br/>
        <w:t xml:space="preserve">     TM. ỦY BAN NHÂN DÂN THÀNH PHỐ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Vũ Hùng Việt</w:t>
        <w:br/>
        <w:t xml:space="preserve">    </w:t>
      </w:r>
      <w:r>
        <w:rPr>
          <w:b w:val="0"/>
          <w:i w:val="0"/>
        </w:rPr>
        <w:br/>
      </w:r>
    </w:p>
    <w:p>
      <w:r>
        <w:rPr>
          <w:b w:val="0"/>
          <w:i w:val="0"/>
        </w:rPr>
        <w:br/>
        <w:t xml:space="preserve">     TM. ỦY BAN NHÂN DÂN THÀNH PHỐ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Vũ Hùng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