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11/2018/NĐ-CP Ban hành điều lệ tổ chức và hoạt động của Tổng công ty Đường sắt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11/2018/NĐ-CP</w:t>
      </w:r>
      <w:r>
        <w:rPr>
          <w:b w:val="0"/>
          <w:i w:val="0"/>
        </w:rPr>
        <w:br/>
      </w:r>
      <w:r>
        <w:rPr>
          <w:b w:val="0"/>
          <w:i w:val="0"/>
        </w:rPr>
        <w:br/>
      </w:r>
      <w:r>
        <w:rPr>
          <w:b w:val="0"/>
          <w:i/>
        </w:rPr>
        <w:br/>
      </w:r>
      <w:r>
        <w:rPr>
          <w:b w:val="0"/>
          <w:i/>
        </w:rPr>
        <w:t>Hà Nội, ngày 16 tháng 01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11/2018/NĐ-CP</w:t>
      </w:r>
      <w:r>
        <w:rPr>
          <w:b w:val="0"/>
          <w:i w:val="0"/>
        </w:rPr>
        <w:br/>
      </w:r>
      <w:r>
        <w:rPr>
          <w:b w:val="0"/>
          <w:i w:val="0"/>
        </w:rPr>
        <w:br/>
      </w:r>
      <w:r>
        <w:rPr>
          <w:b w:val="0"/>
          <w:i/>
        </w:rPr>
        <w:br/>
      </w:r>
      <w:r>
        <w:rPr>
          <w:b w:val="0"/>
          <w:i/>
        </w:rPr>
        <w:t>Hà Nội, ngày 16 tháng 01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11/2018/NĐ-CP</w:t>
      </w:r>
      <w:r>
        <w:rPr>
          <w:b w:val="0"/>
          <w:i w:val="0"/>
        </w:rPr>
        <w:br/>
      </w:r>
      <w:r>
        <w:rPr>
          <w:b w:val="0"/>
          <w:i w:val="0"/>
        </w:rPr>
        <w:br/>
      </w:r>
      <w:r>
        <w:rPr>
          <w:b w:val="0"/>
          <w:i/>
        </w:rPr>
        <w:br/>
      </w:r>
      <w:r>
        <w:rPr>
          <w:b w:val="0"/>
          <w:i/>
        </w:rPr>
        <w:t>Hà Nội, ngày 16 tháng 01 năm 2018</w:t>
      </w:r>
      <w:r>
        <w:rPr>
          <w:b w:val="0"/>
          <w:i/>
        </w:rPr>
        <w:br/>
      </w:r>
      <w:r>
        <w:rPr>
          <w:b w:val="0"/>
          <w:i w:val="0"/>
        </w:rPr>
        <w:br/>
      </w:r>
    </w:p>
    <w:p>
      <w:pPr>
        <w:jc w:val="center"/>
      </w:pPr>
      <w:r>
        <w:rPr>
          <w:b w:val="0"/>
          <w:i w:val="0"/>
        </w:rPr>
        <w:br/>
      </w:r>
      <w:r>
        <w:rPr>
          <w:b w:val="0"/>
          <w:i w:val="0"/>
        </w:rPr>
        <w:t>Số: 11/2018/NĐ-CP</w:t>
      </w:r>
      <w:r>
        <w:rPr>
          <w:b w:val="0"/>
          <w:i w:val="0"/>
        </w:rPr>
        <w:br/>
      </w:r>
    </w:p>
    <w:p>
      <w:pPr>
        <w:jc w:val="center"/>
      </w:pPr>
      <w:r>
        <w:rPr>
          <w:b w:val="0"/>
          <w:i w:val="0"/>
        </w:rPr>
        <w:br/>
      </w:r>
      <w:r>
        <w:rPr>
          <w:b w:val="0"/>
          <w:i w:val="0"/>
        </w:rPr>
        <w:t>Hà Nội, ngày 16 tháng 01 năm 2018</w:t>
      </w:r>
      <w:r>
        <w:rPr>
          <w:b w:val="0"/>
          <w:i w:val="0"/>
        </w:rPr>
        <w:br/>
      </w:r>
    </w:p>
    <w:p>
      <w:r>
        <w:rPr>
          <w:b/>
          <w:i w:val="0"/>
        </w:rPr>
        <w:t>NGHỊ ĐỊNH</w:t>
      </w:r>
    </w:p>
    <w:p>
      <w:r>
        <w:rPr>
          <w:b/>
          <w:i w:val="0"/>
        </w:rPr>
        <w:t>Ban hành điều lệ tổ chức và hoạt động của Tổng công ty Đường sắt Việt Nam</w:t>
      </w:r>
    </w:p>
    <w:p>
      <w:r>
        <w:rPr>
          <w:b/>
          <w:i w:val="0"/>
        </w:rPr>
        <w:t>__________________</w:t>
      </w:r>
    </w:p>
    <w:p>
      <w:pPr>
        <w:jc w:val="both"/>
      </w:pPr>
      <w:r>
        <w:rPr>
          <w:b w:val="0"/>
          <w:i/>
        </w:rPr>
        <w:t>C</w:t>
      </w:r>
      <w:r>
        <w:rPr>
          <w:b w:val="0"/>
          <w:i/>
        </w:rPr>
        <w:t>ă</w:t>
      </w:r>
      <w:r>
        <w:rPr>
          <w:b w:val="0"/>
          <w:i/>
        </w:rPr>
        <w:t>n cứ Luật tổ chức Chính phủ ngày 19 tháng 6 năm 2015;</w:t>
      </w:r>
    </w:p>
    <w:p>
      <w:pPr>
        <w:jc w:val="both"/>
      </w:pPr>
      <w:r>
        <w:rPr>
          <w:b w:val="0"/>
          <w:i/>
        </w:rPr>
        <w:t>Căn cứ Luật doanh nghiệp ngày 26 tháng 11 năm 2014;</w:t>
      </w:r>
    </w:p>
    <w:p>
      <w:pPr>
        <w:jc w:val="both"/>
      </w:pPr>
      <w:r>
        <w:rPr>
          <w:b w:val="0"/>
          <w:i/>
        </w:rPr>
        <w:t>Căn cứ Luật quản lý và sử dụng v</w:t>
      </w:r>
      <w:r>
        <w:rPr>
          <w:b w:val="0"/>
          <w:i/>
        </w:rPr>
        <w:t>ố</w:t>
      </w:r>
      <w:r>
        <w:rPr>
          <w:b w:val="0"/>
          <w:i/>
        </w:rPr>
        <w:t>n nhà nước đầu tư vào sản xuất, kinh doanh tại doanh nghiệp ngày 26 tháng 11 năm 2014;</w:t>
      </w:r>
    </w:p>
    <w:p>
      <w:pPr>
        <w:jc w:val="both"/>
      </w:pPr>
      <w:r>
        <w:rPr>
          <w:b w:val="0"/>
          <w:i/>
        </w:rPr>
        <w:t>Căn cứ Luật đầu tư công ngày 18 tháng 6 năm 2014;</w:t>
      </w:r>
    </w:p>
    <w:p>
      <w:pPr>
        <w:jc w:val="both"/>
      </w:pPr>
      <w:r>
        <w:rPr>
          <w:b w:val="0"/>
          <w:i/>
        </w:rPr>
        <w:t>Căn cứ Luật đường sắt ngày 14 tháng 6 năm 2005;</w:t>
      </w:r>
    </w:p>
    <w:p>
      <w:pPr>
        <w:jc w:val="both"/>
      </w:pPr>
      <w:r>
        <w:rPr>
          <w:b w:val="0"/>
          <w:i/>
        </w:rPr>
        <w:t>Theo đề nghị của Bộ trưởng Bộ Giao thông vận tả</w:t>
      </w:r>
      <w:r>
        <w:rPr>
          <w:b w:val="0"/>
          <w:i/>
        </w:rPr>
        <w:t>i</w:t>
      </w:r>
      <w:r>
        <w:rPr>
          <w:b w:val="0"/>
          <w:i/>
        </w:rPr>
        <w:t>;</w:t>
      </w:r>
    </w:p>
    <w:p>
      <w:pPr>
        <w:jc w:val="both"/>
      </w:pPr>
      <w:r>
        <w:rPr>
          <w:b w:val="0"/>
          <w:i/>
        </w:rPr>
        <w:t>Chính phủ ban hành Nghị định về Điều lệ tổ chức và hoạt động của Tổng công ty Đường sắt Việt Nam.</w:t>
      </w:r>
    </w:p>
    <w:p>
      <w:r>
        <w:rPr>
          <w:b/>
          <w:i w:val="0"/>
        </w:rPr>
        <w:t xml:space="preserve">Điều 1. </w:t>
      </w:r>
      <w:r>
        <w:rPr>
          <w:b w:val="0"/>
          <w:i w:val="0"/>
        </w:rPr>
        <w:t>Ban hành kèm theo Nghị định này Điều lệ tổ chức và hoạt động của Tổng công ty Đường sắt Việt Nam.</w:t>
      </w:r>
    </w:p>
    <w:p>
      <w:r>
        <w:rPr>
          <w:b/>
          <w:i w:val="0"/>
        </w:rPr>
        <w:t xml:space="preserve">Điều 2. </w:t>
      </w:r>
      <w:r>
        <w:rPr>
          <w:b w:val="0"/>
          <w:i w:val="0"/>
        </w:rPr>
        <w:t>Nghị định này có hiệu lực thi hành kể từ ngày ký ban hành.</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Thủ trưởng các cơ quan liên quan và Hội đồng thành viên Tổng công ty Đường sắt Việt Nam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