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 tc/qđ/tccb V/v cử cán bộ Bảo việt đi công tác tại London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120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14 tháng 2 năm 1995</w:t>
            </w:r>
          </w:p>
        </w:tc>
      </w:tr>
    </w:tbl>
    <w:p>
      <w:pPr>
        <w:jc w:val="center"/>
      </w:pPr>
      <w:r>
        <w:rPr>
          <w:b/>
          <w:i w:val="0"/>
        </w:rPr>
        <w:t>QUYẾT ĐỊNH</w:t>
      </w:r>
    </w:p>
    <w:p>
      <w:pPr>
        <w:jc w:val="center"/>
      </w:pPr>
      <w:r>
        <w:rPr>
          <w:b w:val="0"/>
          <w:i w:val="0"/>
        </w:rPr>
        <w:t>V/V CỬ CÁN BỘ BẢO VIỆT ĐI CÔNG TÁC TẠI LONDON</w:t>
      </w:r>
    </w:p>
    <w:p>
      <w:pPr>
        <w:jc w:val="center"/>
      </w:pPr>
      <w:r>
        <w:rPr>
          <w:b/>
          <w:i w:val="0"/>
        </w:rPr>
        <w:t>BỘ TRƯỞNG BỘ TÀI CHÍNH</w:t>
      </w:r>
    </w:p>
    <w:p>
      <w:r>
        <w:rPr>
          <w:b w:val="0"/>
          <w:i w:val="0"/>
        </w:rPr>
        <w:t>Căn cứ Nghị định số 15/CP ngày 02/3/1993 của Chính phủ về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Theo đề nghị của đồng chí Tổng Giám đốc Tổng công ty Bảo hiểm Việt nam, Vụ trưởng Vụ Tổ chức cán bộ và đào tạo;</w:t>
      </w:r>
    </w:p>
    <w:p>
      <w:pPr>
        <w:jc w:val="center"/>
      </w:pPr>
      <w:r>
        <w:rPr>
          <w:b/>
          <w:i w:val="0"/>
        </w:rPr>
        <w:t>QUYẾT ĐỊNH</w:t>
      </w:r>
    </w:p>
    <w:p>
      <w:r>
        <w:rPr>
          <w:b/>
          <w:i/>
        </w:rPr>
        <w:t>Điều 1</w:t>
      </w:r>
      <w:r>
        <w:rPr>
          <w:b w:val="0"/>
          <w:i w:val="0"/>
        </w:rPr>
        <w:t>:</w:t>
      </w:r>
      <w:r>
        <w:rPr>
          <w:b w:val="0"/>
          <w:i w:val="0"/>
        </w:rPr>
        <w:t xml:space="preserve"> Cử đồng chí Phan Tiến Nguyên, Phó phòng Tổng hợp thuộc Văn phòng Tổng công ty Bảo hiểm Việt nam đi học tập và kiêm nhiệm công tác tại Công ty BAVINA - London, thời gian dự kiến 06 tháng bắt đầu từ ngày 20/2/1995.</w:t>
      </w:r>
    </w:p>
    <w:p>
      <w:r>
        <w:rPr>
          <w:b/>
          <w:i/>
        </w:rPr>
        <w:t>Điều 2</w:t>
      </w:r>
      <w:r>
        <w:rPr>
          <w:b w:val="0"/>
          <w:i w:val="0"/>
        </w:rPr>
        <w:t>:</w:t>
      </w:r>
      <w:r>
        <w:rPr>
          <w:b w:val="0"/>
          <w:i w:val="0"/>
        </w:rPr>
        <w:t xml:space="preserve"> Trong thời gian công tác tại nước ngoài, đồng chí Phan Tiến Nguyên được hưởng 40% tiền lương và phụ cấp theo chế độ hiện hành.</w:t>
      </w:r>
    </w:p>
    <w:p>
      <w:r>
        <w:rPr>
          <w:b/>
          <w:i/>
        </w:rPr>
        <w:t>Điều 3</w:t>
      </w:r>
      <w:r>
        <w:rPr>
          <w:b w:val="0"/>
          <w:i w:val="0"/>
        </w:rPr>
        <w:t>:</w:t>
      </w:r>
      <w:r>
        <w:rPr>
          <w:b w:val="0"/>
          <w:i w:val="0"/>
        </w:rPr>
        <w:t xml:space="preserve"> Các đồng chí Vụ trưởng Vụ Tổ chức cán bộ và đào tạo, Tổng giám đốc Tổng công ty Bảo hiểm Việt nam, Chánh Văn phòng Bộ Tài chính và đồng chí có tên trên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Tổng công ty BHVN</w:t>
            </w:r>
            <w:r>
              <w:rPr>
                <w:b w:val="0"/>
                <w:i w:val="0"/>
              </w:rPr>
              <w:br/>
            </w:r>
            <w:r>
              <w:rPr>
                <w:b w:val="0"/>
                <w:i w:val="0"/>
              </w:rPr>
              <w:t>- Cá nhân</w:t>
            </w:r>
            <w:r>
              <w:rPr>
                <w:b w:val="0"/>
                <w:i w:val="0"/>
              </w:rPr>
              <w:br/>
            </w:r>
            <w:r>
              <w:rPr>
                <w:b w:val="0"/>
                <w:i w:val="0"/>
              </w:rPr>
              <w:t>- Lưu VP, TCCB, HSCN</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