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120/1999/QÐ-BTC Ban hành và công bố 4chuẩn mực kiểm toán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w:t>
            </w:r>
            <w:r>
              <w:rPr>
                <w:b w:val="0"/>
                <w:i w:val="0"/>
              </w:rPr>
              <w:br/>
            </w:r>
            <w:r>
              <w:rPr>
                <w:b w:val="0"/>
                <w:i w:val="0"/>
              </w:rPr>
              <w:t>Số: 120/1999/QĐ-BTC</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r>
              <w:rPr>
                <w:b w:val="0"/>
                <w:i w:val="0"/>
              </w:rPr>
              <w:br/>
            </w:r>
            <w:r>
              <w:rPr>
                <w:b w:val="0"/>
                <w:i w:val="0"/>
              </w:rPr>
              <w:t>------------------------------</w:t>
            </w:r>
            <w:r>
              <w:rPr>
                <w:b w:val="0"/>
                <w:i/>
              </w:rPr>
              <w:t xml:space="preserve">     </w:t>
            </w:r>
            <w:r>
              <w:rPr>
                <w:b w:val="0"/>
                <w:i w:val="0"/>
              </w:rPr>
              <w:br/>
            </w:r>
            <w:r>
              <w:rPr>
                <w:b w:val="0"/>
                <w:i/>
              </w:rPr>
              <w:t>Hà nội, ngày 27 tháng 9 năm 1999</w:t>
            </w:r>
          </w:p>
        </w:tc>
      </w:tr>
    </w:tbl>
    <w:p>
      <w:pPr>
        <w:jc w:val="center"/>
      </w:pPr>
      <w:r>
        <w:rPr>
          <w:b w:val="0"/>
          <w:i w:val="0"/>
        </w:rPr>
        <w:t>QUYẾT ĐỊNH CỦA BỘ TRƯỞNG BỘ TÀI CHÍNH</w:t>
      </w:r>
    </w:p>
    <w:p>
      <w:pPr>
        <w:jc w:val="center"/>
      </w:pPr>
      <w:r>
        <w:rPr>
          <w:b/>
          <w:i w:val="0"/>
        </w:rPr>
        <w:t>Về việc ban hành và công bố 4 chuẩn mực kiểm toán Việt Nam</w:t>
      </w:r>
    </w:p>
    <w:p>
      <w:pPr>
        <w:jc w:val="center"/>
      </w:pPr>
      <w:r>
        <w:rPr>
          <w:b w:val="0"/>
          <w:i w:val="0"/>
        </w:rPr>
        <w:t>BỘ TRƯỞNG BỘ TÀI CHÍNH</w:t>
      </w:r>
    </w:p>
    <w:p>
      <w:r>
        <w:rPr>
          <w:b w:val="0"/>
          <w:i w:val="0"/>
        </w:rPr>
        <w:t>- Căn cứ Nghị định số 15/CP ngày 2/3/1993 của Chính phủ về Nhiệm vụ, quyền hạn và trách nhiệm quản lý Nhà nước của Bộ, cơ quan ngang Bộ;</w:t>
      </w:r>
    </w:p>
    <w:p>
      <w:r>
        <w:rPr>
          <w:b w:val="0"/>
          <w:i w:val="0"/>
        </w:rPr>
        <w:t>- Căn cứ Nghị định số 178/CP ngày 28/10/1994 của Chính phủ về Nhiệm vụ, quyền hạn và tổ chức bộ máy Bộ Tài chính;</w:t>
      </w:r>
    </w:p>
    <w:p>
      <w:r>
        <w:rPr>
          <w:b w:val="0"/>
          <w:i w:val="0"/>
        </w:rPr>
        <w:t>- Căn cứ Nghị định số 07/CP ngày 29/1/1994 của Chính phủ ban hành Quy chế kiểm toán độc lập trong nền kinh tế quốc dân;</w:t>
      </w:r>
    </w:p>
    <w:p>
      <w:r>
        <w:rPr>
          <w:b w:val="0"/>
          <w:i w:val="0"/>
        </w:rPr>
        <w:t>Để đáp ứng yêu cầu đổi mới cơ chế quản lý kinh tế, tài chính, nâng cao chất lượng của kiểm toán độc lập trong nền kinh tế quốc dân; Kiểm tra, kiểm soát chất lượng hoạt động kiểm toán độc lập, lành mạnh hoá thông tin tài chính trong nền kinh tế quốc dân;</w:t>
      </w:r>
    </w:p>
    <w:p>
      <w:r>
        <w:rPr>
          <w:b w:val="0"/>
          <w:i w:val="0"/>
        </w:rPr>
        <w:t>Theo đề nghị của Vụ trưởng Vụ Chế độ kế toán, Chánh Văn phòng Bộ Tài chính,</w:t>
      </w:r>
    </w:p>
    <w:p>
      <w:pPr>
        <w:jc w:val="center"/>
      </w:pPr>
      <w:r>
        <w:rPr>
          <w:b w:val="0"/>
          <w:i w:val="0"/>
        </w:rPr>
        <w:t>QUYẾT ĐỊNH:</w:t>
      </w:r>
    </w:p>
    <w:p>
      <w:r>
        <w:rPr>
          <w:b/>
          <w:i w:val="0"/>
        </w:rPr>
        <w:t>Điều 1:</w:t>
      </w:r>
      <w:r>
        <w:rPr>
          <w:b w:val="0"/>
          <w:i w:val="0"/>
        </w:rPr>
        <w:t xml:space="preserve"> Ban hành bốn (04) chuẩn mực kiểm toán Việt Nam có số hiệu và tên gọi sau đây:</w:t>
      </w:r>
    </w:p>
    <w:p>
      <w:r>
        <w:rPr>
          <w:b w:val="0"/>
          <w:i w:val="0"/>
        </w:rPr>
        <w:t>1. Chuẩn mực số 200: Mục tiêu và nguyên tắc cơ bản chi phối kiểm toán báo cáo tài chính;</w:t>
      </w:r>
    </w:p>
    <w:p>
      <w:r>
        <w:rPr>
          <w:b w:val="0"/>
          <w:i w:val="0"/>
        </w:rPr>
        <w:t>2. Chuẩn mực số 210: Hợp đồng kiểm toán;</w:t>
      </w:r>
    </w:p>
    <w:p>
      <w:r>
        <w:rPr>
          <w:b w:val="0"/>
          <w:i w:val="0"/>
        </w:rPr>
        <w:t>3. Chuẩn mực số 230: Hồ sơ kiểm toán;</w:t>
      </w:r>
    </w:p>
    <w:p>
      <w:r>
        <w:rPr>
          <w:b w:val="0"/>
          <w:i w:val="0"/>
        </w:rPr>
        <w:t>4. Chuẩn mực số 700: Báo cáo kiểm toán về báo cáo tài chính.</w:t>
      </w:r>
    </w:p>
    <w:p>
      <w:r>
        <w:rPr>
          <w:b/>
          <w:i w:val="0"/>
        </w:rPr>
        <w:t xml:space="preserve">Điều 2: </w:t>
      </w:r>
      <w:r>
        <w:rPr>
          <w:b w:val="0"/>
          <w:i w:val="0"/>
        </w:rPr>
        <w:t>Chuẩn mực kiểm toán Việt Nam được ban hành kèm theo Quyết định này áp dụng đối với hoạt động kiểm toán độc lập các báo cáo tài chính. Dịch vụ kiểm toán độc lập các thông tin tài chính khác và dịch vụ liên quan của Công ty kiểm toán được áp dụng theo quy định cụ thể của từng chuẩn mực.</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 xml:space="preserve">Các Công ty kiểm toán và kiểm toán viên hoạt động hợp pháp tại Việt Nam có trách nhiệm triển khai thực hiện chuẩn mực kiểm toán Việt Nam trong hoạt động của mỗi Công ty. </w:t>
      </w:r>
    </w:p>
    <w:p>
      <w:r>
        <w:rPr>
          <w:b w:val="0"/>
          <w:i w:val="0"/>
        </w:rPr>
        <w:t>Vụ trưởng Vụ Chế độ kế toán, Chánh văn phòng Bộ và Thủ trưởng các đơn vị liên quan thuộc và trực thuộc Bộ Tài chính có trách nhiệm hướng dẫn, kiểm tra và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rPr>
              <w:t>- Thủ tướng, Phó thủ tướng Chính phủ (để báo cáo)</w:t>
            </w:r>
            <w:r>
              <w:rPr>
                <w:b w:val="0"/>
                <w:i w:val="0"/>
              </w:rPr>
              <w:br/>
            </w:r>
            <w:r>
              <w:rPr>
                <w:b w:val="0"/>
                <w:i/>
              </w:rPr>
              <w:t>- Văn phòng TW Đảng</w:t>
            </w:r>
            <w:r>
              <w:rPr>
                <w:b w:val="0"/>
                <w:i w:val="0"/>
              </w:rPr>
              <w:br/>
            </w:r>
            <w:r>
              <w:rPr>
                <w:b w:val="0"/>
                <w:i/>
              </w:rPr>
              <w:t>- Văn phòng Chủ tịch nước</w:t>
            </w:r>
            <w:r>
              <w:rPr>
                <w:b w:val="0"/>
                <w:i w:val="0"/>
              </w:rPr>
              <w:br/>
            </w:r>
            <w:r>
              <w:rPr>
                <w:b w:val="0"/>
                <w:i/>
              </w:rPr>
              <w:t>- Văn phòng Quốc hội</w:t>
            </w:r>
            <w:r>
              <w:rPr>
                <w:b w:val="0"/>
                <w:i w:val="0"/>
              </w:rPr>
              <w:br/>
            </w:r>
            <w:r>
              <w:rPr>
                <w:b w:val="0"/>
                <w:i/>
              </w:rPr>
              <w:t>- Văn phòng Chính phủ</w:t>
            </w:r>
            <w:r>
              <w:rPr>
                <w:b w:val="0"/>
                <w:i w:val="0"/>
              </w:rPr>
              <w:br/>
            </w:r>
            <w:r>
              <w:rPr>
                <w:b w:val="0"/>
                <w:i/>
              </w:rPr>
              <w:t>- Toà án NDTC</w:t>
            </w:r>
            <w:r>
              <w:rPr>
                <w:b w:val="0"/>
                <w:i w:val="0"/>
              </w:rPr>
              <w:br/>
            </w:r>
            <w:r>
              <w:rPr>
                <w:b w:val="0"/>
                <w:i/>
              </w:rPr>
              <w:t>- Viện Kiểm sát NDTC</w:t>
            </w:r>
            <w:r>
              <w:rPr>
                <w:b w:val="0"/>
                <w:i w:val="0"/>
              </w:rPr>
              <w:br/>
            </w:r>
            <w:r>
              <w:rPr>
                <w:b w:val="0"/>
                <w:i/>
              </w:rPr>
              <w:t>- Sở Tài chính vật giá, Cục thuế, cục QLV và Cục ĐTPT</w:t>
            </w:r>
            <w:r>
              <w:rPr>
                <w:b w:val="0"/>
                <w:i w:val="0"/>
              </w:rPr>
              <w:br/>
            </w:r>
            <w:r>
              <w:rPr>
                <w:b w:val="0"/>
                <w:i/>
              </w:rPr>
              <w:t>các tỉnh, thành phố</w:t>
            </w:r>
            <w:r>
              <w:rPr>
                <w:b w:val="0"/>
                <w:i w:val="0"/>
              </w:rPr>
              <w:br/>
            </w:r>
            <w:r>
              <w:rPr>
                <w:b w:val="0"/>
                <w:i/>
              </w:rPr>
              <w:t>- Tổng cục Doanh nghiệp, Tổng cục Đầu tư phát triển</w:t>
            </w:r>
            <w:r>
              <w:rPr>
                <w:b w:val="0"/>
                <w:i w:val="0"/>
              </w:rPr>
              <w:br/>
            </w:r>
            <w:r>
              <w:rPr>
                <w:b w:val="0"/>
                <w:i/>
              </w:rPr>
              <w:t>- Các công ty kiểm toán</w:t>
            </w:r>
            <w:r>
              <w:rPr>
                <w:b w:val="0"/>
                <w:i w:val="0"/>
              </w:rPr>
              <w:br/>
            </w:r>
            <w:r>
              <w:rPr>
                <w:b w:val="0"/>
                <w:i/>
              </w:rPr>
              <w:t>- Các Trường Đại học TCKT, KTQD, Kinh tế TP. HCM</w:t>
            </w:r>
            <w:r>
              <w:rPr>
                <w:b w:val="0"/>
                <w:i w:val="0"/>
              </w:rPr>
              <w:br/>
            </w:r>
            <w:r>
              <w:rPr>
                <w:b w:val="0"/>
                <w:i/>
              </w:rPr>
              <w:t>- Các Vụ, Viện, Tổng cục thuộc và trực thuộc Bộ</w:t>
            </w:r>
            <w:r>
              <w:rPr>
                <w:b w:val="0"/>
                <w:i w:val="0"/>
              </w:rPr>
              <w:br/>
            </w:r>
            <w:r>
              <w:rPr>
                <w:b w:val="0"/>
                <w:i/>
              </w:rPr>
              <w:t>- Lưu Văn phòng, Vụ CĐKT</w:t>
            </w:r>
          </w:p>
        </w:tc>
        <w:tc>
          <w:tcPr>
            <w:tcW w:type="dxa" w:w="4320"/>
          </w:tcPr>
          <w:p>
            <w:r>
              <w:rPr>
                <w:b w:val="0"/>
                <w:i w:val="0"/>
              </w:rPr>
              <w:br/>
            </w:r>
            <w:r>
              <w:rPr>
                <w:b/>
                <w:i w:val="0"/>
              </w:rPr>
              <w:t>BỘ TRƯỞNG BỘ TÀI CHÍNH</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