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120/2005/QĐ-TTg Về việc điều chỉnh hình thức sắp xếp đối với một số công ty nhà nước thuộc Uỷ ban nhân dân tỉnh Phú Thọ</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QUYẾT ĐỊNH CỦA THỦ TƯỚNG CHÍNH PHỦ</w:t>
      </w:r>
    </w:p>
    <w:p>
      <w:r>
        <w:rPr>
          <w:b/>
          <w:i/>
        </w:rPr>
        <w:t xml:space="preserve">Về việc điều chỉnh hình thức sắp xếp đối với một số công ty </w:t>
      </w:r>
    </w:p>
    <w:p>
      <w:r>
        <w:rPr>
          <w:b/>
          <w:i/>
        </w:rPr>
        <w:t>nhà nước thuộc Uỷ ban nhân dân tỉnh Phú Thọ</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 xml:space="preserve">Xét đề nghị của Uỷ ban nhân dân tỉnh Phú Thọ (tại công văn số 668/TT-UB ngày 14 tháng 4 năm 2005), </w:t>
      </w:r>
    </w:p>
    <w:p>
      <w:r>
        <w:rPr>
          <w:b/>
          <w:i w:val="0"/>
        </w:rPr>
        <w:t>QUYẾT ĐỊNH:</w:t>
      </w:r>
    </w:p>
    <w:p>
      <w:r>
        <w:rPr>
          <w:b/>
          <w:i w:val="0"/>
        </w:rPr>
        <w:t xml:space="preserve">Điều 1. </w:t>
      </w:r>
      <w:r>
        <w:rPr>
          <w:b w:val="0"/>
          <w:i w:val="0"/>
        </w:rPr>
        <w:t>Điều chỉnh hình thức và thời gian sắp xếp đối với một số công ty nhà nước thuộc Uỷ ban nhân dân tỉnh Phú Thọ như Phụ lục kèm theo.</w:t>
      </w:r>
    </w:p>
    <w:p>
      <w:r>
        <w:rPr>
          <w:b w:val="0"/>
          <w:i w:val="0"/>
        </w:rPr>
        <w:t>Đối với những doanh nghiệp không cổ phần hóa được thì chủ động chuyển sang một trong các hình thức: bán đấu giá, giải thể, phá sản và báo cáo Thủ tướng Chính phủ.</w:t>
      </w:r>
    </w:p>
    <w:p>
      <w:r>
        <w:rPr>
          <w:b w:val="0"/>
          <w:i w:val="0"/>
        </w:rPr>
        <w:t>Các lâm trường quốc doanh thực hiện sắp xếp theo Nghị định số 200/2004/NĐ-CP ngày 03 tháng 12 năm 2004 của Chính phủ về sắp xếp, đổi mới và phát triển lâm trường quốc doanh.</w:t>
      </w:r>
    </w:p>
    <w:p>
      <w:r>
        <w:rPr>
          <w:b/>
          <w:i w:val="0"/>
        </w:rPr>
        <w:t xml:space="preserve">Điều 2. </w:t>
      </w:r>
      <w:r>
        <w:rPr>
          <w:b w:val="0"/>
          <w:i w:val="0"/>
        </w:rPr>
        <w:t>Chủ tịch Ủy ban nhân dân tỉnh Phú Thọ chỉ đạo thực hiện việc sắp xếp, đổi mới công ty nhà nước trực thuộc đã được phê duyệt tại Quyết định số 379/QĐ-TTg ngày 07 tháng 4 năm 2003 và Quyết định này.</w:t>
      </w:r>
    </w:p>
    <w:p>
      <w:r>
        <w:rPr>
          <w:b/>
          <w:i w:val="0"/>
        </w:rPr>
        <w:t xml:space="preserve">Điều 3. </w:t>
      </w:r>
      <w:r>
        <w:rPr>
          <w:b w:val="0"/>
          <w:i w:val="0"/>
        </w:rPr>
        <w:t>Quyết định này có hiệu lực sau 15 ngày, kể từ ngày đăng Công báo.</w:t>
      </w:r>
    </w:p>
    <w:p>
      <w:r>
        <w:rPr>
          <w:b w:val="0"/>
          <w:i w:val="0"/>
        </w:rPr>
        <w:t>Chủ tịch Ủy ban nhân dân tỉnh Phú Thọ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