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121/2005/QĐ-TTg Về việc phê duyệt bổ sung đề án tổng thể sắp xếp, đổi mới công ty nhà nước trực thuộc Uỷ ban nhân dân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QUYẾT ĐỊNH </w:t>
      </w:r>
    </w:p>
    <w:p>
      <w:pPr>
        <w:jc w:val="center"/>
      </w:pPr>
      <w:r>
        <w:rPr>
          <w:b/>
          <w:i w:val="0"/>
        </w:rPr>
        <w:t xml:space="preserve">Về việc phê duyệt bổ sung đề án tổng thể sắp xếp, đổi mới </w:t>
      </w:r>
    </w:p>
    <w:p>
      <w:pPr>
        <w:jc w:val="center"/>
      </w:pPr>
      <w:r>
        <w:rPr>
          <w:b/>
          <w:i w:val="0"/>
        </w:rPr>
        <w:t>công ty nhà nước trực thuộc Uỷ ban nhân dân tỉnh Bến Tre</w:t>
      </w:r>
    </w:p>
    <w:p>
      <w:pPr>
        <w:jc w:val="center"/>
      </w:pPr>
      <w:r>
        <w:rPr>
          <w:b/>
          <w:i w:val="0"/>
        </w:rPr>
        <w:t>____________________________</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pPr>
        <w:jc w:val="both"/>
      </w:pPr>
      <w:r>
        <w:rPr>
          <w:b w:val="0"/>
          <w:i/>
        </w:rPr>
        <w:t>Xét đề nghị của Uỷ ban nhân dân tỉnh Bến Tre (Công văn số 784/TT-UB ngày 27 tháng 4 năm 2005).</w:t>
      </w:r>
    </w:p>
    <w:p>
      <w:pPr>
        <w:jc w:val="center"/>
      </w:pPr>
      <w:r>
        <w:rPr>
          <w:b/>
          <w:i w:val="0"/>
        </w:rPr>
        <w:t>QUYẾT ĐỊNH:</w:t>
      </w:r>
    </w:p>
    <w:p>
      <w:pPr>
        <w:jc w:val="both"/>
      </w:pPr>
      <w:r>
        <w:rPr>
          <w:b/>
          <w:i w:val="0"/>
        </w:rPr>
        <w:t>Điều 1.</w:t>
      </w:r>
      <w:r>
        <w:rPr>
          <w:b w:val="0"/>
          <w:i w:val="0"/>
        </w:rPr>
        <w:t xml:space="preserve"> Phê duyệt bổ sung Đề án tổng thể sắp xếp, đổi mới công ty nhà nước trực thuộc Uỷ ban nhân dân tỉnh Bến Tre năm 2005 - 2006 như Phụ lục kèm theo.</w:t>
      </w:r>
    </w:p>
    <w:p>
      <w:pPr>
        <w:jc w:val="both"/>
      </w:pPr>
      <w:r>
        <w:rPr>
          <w:b/>
          <w:i w:val="0"/>
        </w:rPr>
        <w:t>Điều 2.</w:t>
      </w:r>
      <w:r>
        <w:rPr>
          <w:b w:val="0"/>
          <w:i w:val="0"/>
        </w:rPr>
        <w:t xml:space="preserve"> Chủ tịch Uỷ ban nhân dân tỉnh Bến Tre:</w:t>
      </w:r>
    </w:p>
    <w:p>
      <w:pPr>
        <w:jc w:val="both"/>
      </w:pPr>
      <w:r>
        <w:rPr>
          <w:b w:val="0"/>
          <w:i w:val="0"/>
        </w:rPr>
        <w:t>1. Chỉ đạo thực hiện việc sắp xếp, đổi mới công ty nhà nước trực thuộc đã được phê duyệt tại Quyết định số 52/2003/QĐ-TTg ngày 15 tháng 4 năm 2003 và Quyết định này.</w:t>
      </w:r>
    </w:p>
    <w:p>
      <w:pPr>
        <w:jc w:val="both"/>
      </w:pPr>
      <w:r>
        <w:rPr>
          <w:b w:val="0"/>
          <w:i w:val="0"/>
        </w:rPr>
        <w:t>2. Căn cứ quy định hiện hành và thực trạng của doanh nghiệp, quyết định tỷ lệ cổ phần do Nhà nước nắm giữ khi bán cổ phần lần đầu tại từng công ty và bán tiếp phần vốn nhà nước tại các công ty nhà nước đã cổ phần hoá.</w:t>
      </w:r>
    </w:p>
    <w:p>
      <w:pPr>
        <w:jc w:val="both"/>
      </w:pPr>
      <w:r>
        <w:rPr>
          <w:b/>
          <w:i w:val="0"/>
        </w:rPr>
        <w:t>Điều 3.</w:t>
      </w:r>
      <w:r>
        <w:rPr>
          <w:b w:val="0"/>
          <w:i w:val="0"/>
        </w:rPr>
        <w:t xml:space="preserve"> Các Bộ: Tài chính, Kế hoạch và Đầu tư, Lao động - Thương binh và Xã hội, Nội vụ và các Bộ liên quan có trách nhiệm phối hợp với Uỷ ban nhân dân tỉnh Bến Tre trong thực hiện Đề án này.</w:t>
      </w:r>
    </w:p>
    <w:p>
      <w:pPr>
        <w:jc w:val="both"/>
      </w:pPr>
      <w:r>
        <w:rPr>
          <w:b w:val="0"/>
          <w:i w:val="0"/>
        </w:rPr>
        <w:t>Ban Chỉ đạo Đổi mới và Phát triển doanh nghiệp chịu trách nhiệm đôn đốc, hướng dẫn và theo dõi việc thực hiện Đề án này, đồng thời kiến nghị với Thủ tướng Chính phủ các giải pháp tháo gỡ khó khăn trong quá trình thực hiện.</w:t>
      </w:r>
    </w:p>
    <w:p>
      <w:pPr>
        <w:jc w:val="both"/>
      </w:pPr>
      <w:r>
        <w:rPr>
          <w:b/>
          <w:i w:val="0"/>
        </w:rPr>
        <w:t>Điều 4.</w:t>
      </w:r>
      <w:r>
        <w:rPr>
          <w:b w:val="0"/>
          <w:i w:val="0"/>
        </w:rPr>
        <w:t xml:space="preserve"> Quyết định này có hiệu lực sau 15 ngày, kể từ ngày đăng Công báo.</w:t>
      </w:r>
    </w:p>
    <w:p>
      <w:pPr>
        <w:jc w:val="both"/>
      </w:pPr>
      <w:r>
        <w:rPr>
          <w:b w:val="0"/>
          <w:i w:val="0"/>
        </w:rPr>
        <w:t>Chủ tịch Uỷ ban nhân dân tỉnh Bến Tre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val="0"/>
                <w:i w:val="0"/>
              </w:rPr>
              <w:br/>
            </w:r>
            <w:r>
              <w:rPr>
                <w:b/>
                <w:i w:val="0"/>
              </w:rPr>
              <w:t>Nguyễn Tấn Dũng</w:t>
            </w:r>
          </w:p>
        </w:tc>
      </w:tr>
    </w:tbl>
    <w:p>
      <w:pPr>
        <w:jc w:val="center"/>
      </w:pPr>
      <w:r>
        <w:rPr>
          <w:b/>
          <w:i w:val="0"/>
        </w:rPr>
        <w:t>PHỤ LỤC</w:t>
      </w:r>
    </w:p>
    <w:p>
      <w:pPr>
        <w:jc w:val="center"/>
      </w:pPr>
      <w:r>
        <w:rPr>
          <w:b/>
          <w:i w:val="0"/>
        </w:rPr>
        <w:t>DANH MỤC CÔNG TY NHÀ NƯỚC TRỰC THUỘC UỶ BAN NHÂN DÂN TỈNH BẾN TRE BỔ SUNG ĐỀ ÁN SẮP XẾP NĂM 2005 – 2006</w:t>
      </w:r>
      <w:r>
        <w:br/>
      </w:r>
      <w:r>
        <w:rPr>
          <w:b w:val="0"/>
          <w:i w:val="0"/>
        </w:rPr>
        <w:br/>
        <w:t xml:space="preserve">    (</w:t>
      </w:r>
      <w:r>
        <w:rPr>
          <w:b w:val="0"/>
          <w:i/>
        </w:rPr>
        <w:t xml:space="preserve">Ban hành kèm theo Quyết định số 121/2005/QĐ-TTg </w:t>
      </w:r>
      <w:r>
        <w:rPr>
          <w:b w:val="0"/>
          <w:i/>
        </w:rPr>
        <w:t>ngày 30 tháng 5 năm 2005 của Thủ tướng Chính phủ)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doanh nghiệp</w:t>
            </w:r>
          </w:p>
        </w:tc>
        <w:tc>
          <w:tcPr>
            <w:tcW w:type="dxa" w:w="1728"/>
          </w:tcPr>
          <w:p>
            <w:r>
              <w:rPr>
                <w:b w:val="0"/>
                <w:i w:val="0"/>
              </w:rPr>
              <w:br/>
            </w:r>
            <w:r>
              <w:rPr>
                <w:b w:val="0"/>
                <w:i w:val="0"/>
              </w:rPr>
              <w:t>Hình thức sắp xếp theo Quyết định số 52/2003/QĐ-TTg ngày 15/4/2003</w:t>
            </w:r>
          </w:p>
        </w:tc>
        <w:tc>
          <w:tcPr>
            <w:tcW w:type="dxa" w:w="1728"/>
          </w:tcPr>
          <w:p>
            <w:r>
              <w:rPr>
                <w:b w:val="0"/>
                <w:i w:val="0"/>
              </w:rPr>
              <w:br/>
            </w:r>
            <w:r>
              <w:rPr>
                <w:b w:val="0"/>
                <w:i w:val="0"/>
              </w:rPr>
              <w:t>Nay điều chỉnh</w:t>
            </w:r>
          </w:p>
        </w:tc>
        <w:tc>
          <w:tcPr>
            <w:tcW w:type="dxa" w:w="1728"/>
          </w:tcPr>
          <w:p>
            <w:r>
              <w:rPr>
                <w:b w:val="0"/>
                <w:i w:val="0"/>
              </w:rPr>
              <w:br/>
            </w:r>
            <w:r>
              <w:rPr>
                <w:b w:val="0"/>
                <w:i w:val="0"/>
              </w:rPr>
              <w:t>Thời gian thực 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