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122/1998/QĐ-CT V/v Điều chỉnh và Qui định chỉ giới đường đỏ - chỉ giới xây dựng tại các thị trấn thuộc huyện Thuận An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122/1998/QĐ-CT</w:t>
      </w:r>
      <w:r>
        <w:rPr>
          <w:b w:val="0"/>
          <w:i w:val="0"/>
        </w:rPr>
        <w:br/>
      </w:r>
      <w:r>
        <w:rPr>
          <w:b w:val="0"/>
          <w:i w:val="0"/>
        </w:rPr>
        <w:br/>
      </w:r>
      <w:r>
        <w:rPr>
          <w:b w:val="0"/>
          <w:i/>
        </w:rPr>
        <w:br/>
      </w:r>
      <w:r>
        <w:rPr>
          <w:b w:val="0"/>
          <w:i/>
        </w:rPr>
        <w:t>Bình Dương, ngày 11 tháng 8 năm 1998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122/1998/QĐ-CT</w:t>
      </w:r>
      <w:r>
        <w:rPr>
          <w:b w:val="0"/>
          <w:i w:val="0"/>
        </w:rPr>
        <w:br/>
      </w:r>
      <w:r>
        <w:rPr>
          <w:b w:val="0"/>
          <w:i w:val="0"/>
        </w:rPr>
        <w:br/>
      </w:r>
      <w:r>
        <w:rPr>
          <w:b w:val="0"/>
          <w:i/>
        </w:rPr>
        <w:br/>
      </w:r>
      <w:r>
        <w:rPr>
          <w:b w:val="0"/>
          <w:i/>
        </w:rPr>
        <w:t>Bình Dương, ngày 11 tháng 8 năm 1998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DƯƠNG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DƯƠNG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122/1998/QĐ-CT</w:t>
      </w:r>
      <w:r>
        <w:rPr>
          <w:b w:val="0"/>
          <w:i w:val="0"/>
        </w:rPr>
        <w:br/>
      </w:r>
      <w:r>
        <w:rPr>
          <w:b w:val="0"/>
          <w:i w:val="0"/>
        </w:rPr>
        <w:br/>
      </w:r>
      <w:r>
        <w:rPr>
          <w:b w:val="0"/>
          <w:i/>
        </w:rPr>
        <w:br/>
      </w:r>
      <w:r>
        <w:rPr>
          <w:b w:val="0"/>
          <w:i/>
        </w:rPr>
        <w:t>Bình Dương, ngày 11 tháng 8 năm 1998</w:t>
      </w:r>
      <w:r>
        <w:rPr>
          <w:b w:val="0"/>
          <w:i/>
        </w:rPr>
        <w:br/>
      </w:r>
      <w:r>
        <w:rPr>
          <w:b w:val="0"/>
          <w:i w:val="0"/>
        </w:rPr>
        <w:br/>
      </w:r>
    </w:p>
    <w:p>
      <w:pPr>
        <w:jc w:val="center"/>
      </w:pPr>
      <w:r>
        <w:rPr>
          <w:b w:val="0"/>
          <w:i w:val="0"/>
        </w:rPr>
        <w:br/>
      </w:r>
      <w:r>
        <w:rPr>
          <w:b w:val="0"/>
          <w:i w:val="0"/>
        </w:rPr>
        <w:t>Số: 122/1998/QĐ-CT</w:t>
      </w:r>
      <w:r>
        <w:rPr>
          <w:b w:val="0"/>
          <w:i w:val="0"/>
        </w:rPr>
        <w:br/>
      </w:r>
    </w:p>
    <w:p>
      <w:pPr>
        <w:jc w:val="center"/>
      </w:pPr>
      <w:r>
        <w:rPr>
          <w:b w:val="0"/>
          <w:i w:val="0"/>
        </w:rPr>
        <w:br/>
      </w:r>
      <w:r>
        <w:rPr>
          <w:b w:val="0"/>
          <w:i w:val="0"/>
        </w:rPr>
        <w:t>Bình Dương, ngày 11 tháng 8 năm 1998</w:t>
      </w:r>
      <w:r>
        <w:rPr>
          <w:b w:val="0"/>
          <w:i w:val="0"/>
        </w:rPr>
        <w:br/>
      </w:r>
    </w:p>
    <w:p>
      <w:r>
        <w:rPr>
          <w:b/>
          <w:i w:val="0"/>
        </w:rPr>
        <w:t>QUYẾT ĐỊNH CỦA CHỦ TỊCH ỦY BAN NHÂN DÂN</w:t>
      </w:r>
    </w:p>
    <w:p>
      <w:r>
        <w:rPr>
          <w:b/>
          <w:i w:val="0"/>
        </w:rPr>
        <w:t>V/v Điều chỉnh và Qui định chỉ giới đường đỏ - chỉ giới xây dựng tại các thị trấn thuộc huyện Thuận An</w:t>
      </w:r>
    </w:p>
    <w:p>
      <w:r>
        <w:rPr>
          <w:b/>
          <w:i w:val="0"/>
        </w:rPr>
        <w:t>__________________</w:t>
      </w:r>
    </w:p>
    <w:p>
      <w:r>
        <w:rPr>
          <w:b/>
          <w:i w:val="0"/>
        </w:rPr>
        <w:t>CHỦ TỊCH ỦY BAN NHÂN DÂN</w:t>
      </w:r>
    </w:p>
    <w:p>
      <w:r>
        <w:rPr>
          <w:b w:val="0"/>
          <w:i/>
        </w:rPr>
        <w:t>- Căn cứ Luật Tổ chức Hội đồng nhân dân và Ủy ban nhân dân ngày 21/6/1994.</w:t>
      </w:r>
    </w:p>
    <w:p>
      <w:r>
        <w:rPr>
          <w:b w:val="0"/>
          <w:i/>
        </w:rPr>
        <w:t>- Xét tờ trình Liên ngành số 587/TT-UB ngày 26/5/1998 và số 658/TT-UB ngày 17/7/1998 của Liên ngành sở Xây dựng, sở Giao thông Vận tải và UBND huyện Thuận An.</w:t>
      </w:r>
    </w:p>
    <w:p>
      <w:r>
        <w:rPr>
          <w:b/>
          <w:i w:val="0"/>
        </w:rPr>
        <w:t>QUYẾT ĐỊNH</w:t>
      </w:r>
    </w:p>
    <w:p>
      <w:r>
        <w:rPr>
          <w:b/>
          <w:i w:val="0"/>
        </w:rPr>
        <w:t xml:space="preserve">Điều 1. </w:t>
      </w:r>
      <w:r>
        <w:rPr>
          <w:b w:val="0"/>
          <w:i w:val="0"/>
        </w:rPr>
        <w:t>Nay điều chỉnh và qui định kích thước chỉ giới đường đỏ và chỉ giới xây dựng tại 03 thị trấn thuộc huyện Thuận An gồm :</w:t>
      </w:r>
    </w:p>
    <w:p>
      <w:r>
        <w:rPr>
          <w:b w:val="0"/>
          <w:i w:val="0"/>
        </w:rPr>
        <w:t xml:space="preserve">- Thị trấn Lái Thiêu : 34 tuyến đường </w:t>
      </w:r>
    </w:p>
    <w:p>
      <w:r>
        <w:rPr>
          <w:b w:val="0"/>
          <w:i w:val="0"/>
        </w:rPr>
        <w:t xml:space="preserve">- Thị trấn Dĩ An : 22 tuyến đường </w:t>
      </w:r>
    </w:p>
    <w:p>
      <w:r>
        <w:rPr>
          <w:b w:val="0"/>
          <w:i w:val="0"/>
        </w:rPr>
        <w:t xml:space="preserve">- Thị trấn An Thạnh : 13 tuyến đường </w:t>
      </w:r>
    </w:p>
    <w:p>
      <w:r>
        <w:rPr>
          <w:b w:val="0"/>
          <w:i w:val="0"/>
        </w:rPr>
        <w:t>(Kèm theo bảng qui định từng trục đường)</w:t>
      </w:r>
    </w:p>
    <w:p>
      <w:r>
        <w:rPr>
          <w:b/>
          <w:i w:val="0"/>
        </w:rPr>
        <w:t xml:space="preserve">Điều 2. </w:t>
      </w:r>
      <w:r>
        <w:rPr>
          <w:b w:val="0"/>
          <w:i w:val="0"/>
        </w:rPr>
        <w:t>Qui định này là cơ sở pháp lý để các ngành chức năng của tỉnh và địa phương thực hiện quản lý quy hoạch và quản lý xây dựng đối với nhà ở riêng lẻ.</w:t>
      </w:r>
    </w:p>
    <w:p>
      <w:r>
        <w:rPr>
          <w:b/>
          <w:i w:val="0"/>
        </w:rPr>
        <w:t xml:space="preserve">Điều 3. </w:t>
      </w:r>
      <w:r>
        <w:rPr>
          <w:b w:val="0"/>
          <w:i w:val="0"/>
        </w:rPr>
        <w:t>Giao cho Chủ tịch UBND huyện Thuận An chủ trì phối hợp với Giám đốc sở Xây dựng và Chủ tịch các UBND thị trấn phổ biến rộng rải và thực hiện quản lý.</w:t>
      </w:r>
    </w:p>
    <w:p>
      <w:r>
        <w:rPr>
          <w:b w:val="0"/>
          <w:i w:val="0"/>
        </w:rPr>
        <w:t>Quyết định này thay thế các quyết định số 2671/QĐ-UB ngày 27/7/1998 và Quyết định số 20/QĐ-UB ngày 07/01/1998 của UBND tỉnh.</w:t>
      </w:r>
    </w:p>
    <w:p>
      <w:r>
        <w:rPr>
          <w:b/>
          <w:i w:val="0"/>
        </w:rPr>
        <w:t xml:space="preserve">Điều 4. </w:t>
      </w:r>
      <w:r>
        <w:rPr>
          <w:b w:val="0"/>
          <w:i w:val="0"/>
        </w:rPr>
        <w:t>Các ông Chánh Văn phòng HĐND-UBND tỉnh, Chủ tịch UBND huyện Thuận An, Giám đốc sở Xây dựng, sở Giao thông Vận tải, sở Địa chính, Thủ trưởng các ngành, đơn vị và các đối tượng có liên quan chịu trách nhiệm thi hành quyết định này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t xml:space="preserve"> </w:t>
            </w:r>
            <w:r>
              <w:rPr>
                <w:b w:val="0"/>
                <w:i w:val="0"/>
              </w:rPr>
              <w:br/>
            </w:r>
            <w:r>
              <w:rPr>
                <w:b/>
                <w:i w:val="0"/>
              </w:rPr>
              <w:t>Phan Hồng Đoàn</w:t>
            </w:r>
          </w:p>
        </w:tc>
      </w:tr>
    </w:tbl>
    <w:p>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DƯƠNG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DƯƠNG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i w:val="0"/>
        </w:rPr>
        <w:t>BẢNG QUI ĐỊNH</w:t>
      </w:r>
    </w:p>
    <w:p>
      <w:r>
        <w:rPr>
          <w:b/>
          <w:i w:val="0"/>
        </w:rPr>
        <w:t>KÍCH THƯỚC CHỈ GIỚI ĐƯỜNG ĐỎ-CHỈ GIỚI XÂY DỰNG CÁC TRỤC ĐƯỜNG TRONG THỊ TRẤN</w:t>
      </w:r>
    </w:p>
    <w:p>
      <w:r>
        <w:rPr>
          <w:b/>
          <w:i w:val="0"/>
        </w:rPr>
        <w:t>THUỘC HUYỆN THUẬN AN</w:t>
      </w:r>
    </w:p>
    <w:p>
      <w:r>
        <w:rPr>
          <w:b w:val="0"/>
          <w:i/>
        </w:rPr>
        <w:t>( Ban hành kèm theo Quyết định số : 122/1998/QĐ-UB ngày 11 tháng 8 năm 1998 của UBND tỉnh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i w:val="0"/>
              </w:rPr>
              <w:t>STT</w:t>
            </w:r>
          </w:p>
        </w:tc>
        <w:tc>
          <w:tcPr>
            <w:tcW w:type="dxa" w:w="1234"/>
          </w:tcPr>
          <w:p>
            <w:r>
              <w:rPr>
                <w:b w:val="0"/>
                <w:i w:val="0"/>
              </w:rPr>
              <w:br/>
            </w:r>
            <w:r>
              <w:rPr>
                <w:b w:val="0"/>
                <w:i w:val="0"/>
              </w:rPr>
              <w:t xml:space="preserve"> </w:t>
            </w:r>
            <w:r>
              <w:rPr>
                <w:b w:val="0"/>
                <w:i w:val="0"/>
              </w:rPr>
              <w:br/>
            </w:r>
            <w:r>
              <w:rPr>
                <w:b/>
                <w:i w:val="0"/>
              </w:rPr>
              <w:t>Tên đường</w:t>
            </w:r>
          </w:p>
        </w:tc>
        <w:tc>
          <w:tcPr>
            <w:tcW w:type="dxa" w:w="1234"/>
          </w:tcPr>
          <w:p>
            <w:r>
              <w:rPr>
                <w:b w:val="0"/>
                <w:i w:val="0"/>
              </w:rPr>
              <w:br/>
            </w:r>
            <w:r>
              <w:rPr>
                <w:b w:val="0"/>
                <w:i w:val="0"/>
              </w:rPr>
              <w:t xml:space="preserve"> </w:t>
            </w:r>
            <w:r>
              <w:rPr>
                <w:b w:val="0"/>
                <w:i w:val="0"/>
              </w:rPr>
              <w:br/>
            </w:r>
            <w:r>
              <w:rPr>
                <w:b/>
                <w:i w:val="0"/>
              </w:rPr>
              <w:t>Phạm vi giới hạn</w:t>
            </w:r>
          </w:p>
        </w:tc>
        <w:tc>
          <w:tcPr>
            <w:tcW w:type="dxa" w:w="1234"/>
          </w:tcPr>
          <w:p>
            <w:r>
              <w:rPr>
                <w:b w:val="0"/>
                <w:i w:val="0"/>
              </w:rPr>
              <w:br/>
            </w:r>
            <w:r>
              <w:rPr>
                <w:b/>
                <w:i w:val="0"/>
              </w:rPr>
              <w:t>Hiện trạng</w:t>
            </w:r>
            <w:r>
              <w:rPr>
                <w:b w:val="0"/>
                <w:i w:val="0"/>
              </w:rPr>
              <w:br/>
            </w:r>
            <w:r>
              <w:rPr>
                <w:b/>
                <w:i w:val="0"/>
              </w:rPr>
              <w:t>bề mặt đường</w:t>
            </w:r>
          </w:p>
        </w:tc>
        <w:tc>
          <w:tcPr>
            <w:tcW w:type="dxa" w:w="1234"/>
          </w:tcPr>
          <w:p>
            <w:r>
              <w:rPr>
                <w:b w:val="0"/>
                <w:i w:val="0"/>
              </w:rPr>
              <w:br/>
            </w:r>
            <w:r>
              <w:rPr>
                <w:b/>
                <w:i w:val="0"/>
              </w:rPr>
              <w:t>Chỉ giới</w:t>
            </w:r>
            <w:r>
              <w:rPr>
                <w:b w:val="0"/>
                <w:i w:val="0"/>
              </w:rPr>
              <w:br/>
            </w:r>
            <w:r>
              <w:rPr>
                <w:b/>
                <w:i w:val="0"/>
              </w:rPr>
              <w:t>đường đỏ</w:t>
            </w:r>
            <w:r>
              <w:rPr>
                <w:b w:val="0"/>
                <w:i w:val="0"/>
              </w:rPr>
              <w:br/>
            </w:r>
            <w:r>
              <w:rPr>
                <w:b/>
                <w:i w:val="0"/>
              </w:rPr>
              <w:t>( Tính từ tim )</w:t>
            </w:r>
          </w:p>
        </w:tc>
        <w:tc>
          <w:tcPr>
            <w:tcW w:type="dxa" w:w="1234"/>
          </w:tcPr>
          <w:p>
            <w:r>
              <w:rPr>
                <w:b w:val="0"/>
                <w:i w:val="0"/>
              </w:rPr>
              <w:br/>
            </w:r>
            <w:r>
              <w:rPr>
                <w:b/>
                <w:i w:val="0"/>
              </w:rPr>
              <w:t>Chỉ giới</w:t>
            </w:r>
            <w:r>
              <w:rPr>
                <w:b w:val="0"/>
                <w:i w:val="0"/>
              </w:rPr>
              <w:br/>
            </w:r>
            <w:r>
              <w:rPr>
                <w:b/>
                <w:i w:val="0"/>
              </w:rPr>
              <w:t>xây dựng</w:t>
            </w:r>
            <w:r>
              <w:rPr>
                <w:b w:val="0"/>
                <w:i w:val="0"/>
              </w:rPr>
              <w:br/>
            </w:r>
            <w:r>
              <w:rPr>
                <w:b/>
                <w:i w:val="0"/>
              </w:rPr>
              <w:t>( Tính từ tim )</w:t>
            </w:r>
          </w:p>
        </w:tc>
        <w:tc>
          <w:tcPr>
            <w:tcW w:type="dxa" w:w="1234"/>
          </w:tcPr>
          <w:p>
            <w:r>
              <w:rPr>
                <w:b w:val="0"/>
                <w:i w:val="0"/>
              </w:rPr>
              <w:br/>
            </w:r>
            <w:r>
              <w:rPr>
                <w:b w:val="0"/>
                <w:i w:val="0"/>
              </w:rPr>
              <w:t xml:space="preserve"> </w:t>
            </w:r>
            <w:r>
              <w:rPr>
                <w:b w:val="0"/>
                <w:i w:val="0"/>
              </w:rPr>
              <w:br/>
            </w:r>
            <w:r>
              <w:rPr>
                <w:b/>
                <w:i w:val="0"/>
              </w:rPr>
              <w:t>Ghi chú</w:t>
            </w:r>
          </w:p>
        </w:tc>
      </w:tr>
    </w:tbl>
    <w:p>
      <w:r>
        <w:rPr>
          <w:b w:val="0"/>
          <w:i w:val="0"/>
        </w:rPr>
        <w:t xml:space="preserve">* </w:t>
      </w:r>
      <w:r>
        <w:rPr>
          <w:b/>
          <w:i w:val="0"/>
        </w:rPr>
        <w:t>Giải thích</w:t>
      </w:r>
      <w:r>
        <w:rPr>
          <w:b w:val="0"/>
          <w:i w:val="0"/>
        </w:rPr>
        <w:t xml:space="preserve"> :</w:t>
      </w:r>
    </w:p>
    <w:p>
      <w:r>
        <w:rPr>
          <w:b w:val="0"/>
          <w:i w:val="0"/>
        </w:rPr>
        <w:t>a) Chỉ giới đừơng đỏ là đường ranh giới được xác định trên bản đồ qui hoạch và thực địa để phân định ranh giới giữa phần đất để xây dựng công trình và phầnđất được dành cho đường giao thông hoặc các công trình kỹ thuật hạ tầng, không gian công cộng khá.</w:t>
      </w:r>
    </w:p>
    <w:p>
      <w:r>
        <w:rPr>
          <w:b w:val="0"/>
          <w:i w:val="0"/>
        </w:rPr>
        <w:t>Trong đô thị lộ giới là chỉ giới đường đỏ của phần đất dành làm đường đô thị bao gồm toàn bộ lòng đường, lề đường và vỉa hè.</w:t>
      </w:r>
    </w:p>
    <w:p>
      <w:r>
        <w:rPr>
          <w:b w:val="0"/>
          <w:i w:val="0"/>
        </w:rPr>
        <w:t>b) Chỉ giới xây dựng là đường giới hạn cho phép xây dựng nhà, công trình trên lô đất.</w:t>
      </w:r>
    </w:p>
    <w:p>
      <w:r>
        <w:rPr>
          <w:b w:val="0"/>
          <w:i w:val="0"/>
        </w:rPr>
        <w:t>c) CGXD qui định trong bảng kèm theo chỉ áp dụng cho xây dựng nhà ở riêng lẻ. Các công trình trong công cộng được xây dựng theo chỉ giới qui định riêng./.</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Phan Hồng Đoàn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Phan Hồng Đoàn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Phan Hồng Đoàn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Phan Hồng Đoàn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