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1230/QĐ-TTg Phê duyệt kế hoạch sắp xếp, đổi mới doanh nghiệp 100% vốn nhà nước thuộc Ủy ban nhân dân tỉnh Hà Nam giai đoạn 2007 - 2010</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HOÀ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1230/QĐ-TTg</w:t>
      </w:r>
      <w:r>
        <w:rPr>
          <w:b w:val="0"/>
          <w:i w:val="0"/>
        </w:rPr>
        <w:br/>
      </w:r>
      <w:r>
        <w:rPr>
          <w:b w:val="0"/>
          <w:i w:val="0"/>
        </w:rPr>
        <w:br/>
      </w:r>
      <w:r>
        <w:rPr>
          <w:b w:val="0"/>
          <w:i/>
        </w:rPr>
        <w:br/>
      </w:r>
      <w:r>
        <w:rPr>
          <w:b w:val="0"/>
          <w:i/>
        </w:rPr>
        <w:t>Hà Nội, ngày 17 tháng 9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HOÀ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1230/QĐ-TTg</w:t>
      </w:r>
      <w:r>
        <w:rPr>
          <w:b w:val="0"/>
          <w:i w:val="0"/>
        </w:rPr>
        <w:br/>
      </w:r>
      <w:r>
        <w:rPr>
          <w:b w:val="0"/>
          <w:i w:val="0"/>
        </w:rPr>
        <w:br/>
      </w:r>
      <w:r>
        <w:rPr>
          <w:b w:val="0"/>
          <w:i/>
        </w:rPr>
        <w:br/>
      </w:r>
      <w:r>
        <w:rPr>
          <w:b w:val="0"/>
          <w:i/>
        </w:rPr>
        <w:t>Hà Nội, ngày 17 tháng 9 năm 2007</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HOÀ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HOÀ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HOÀ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1230/QĐ-TTg</w:t>
      </w:r>
      <w:r>
        <w:rPr>
          <w:b w:val="0"/>
          <w:i w:val="0"/>
        </w:rPr>
        <w:br/>
      </w:r>
      <w:r>
        <w:rPr>
          <w:b w:val="0"/>
          <w:i w:val="0"/>
        </w:rPr>
        <w:br/>
      </w:r>
      <w:r>
        <w:rPr>
          <w:b w:val="0"/>
          <w:i/>
        </w:rPr>
        <w:br/>
      </w:r>
      <w:r>
        <w:rPr>
          <w:b w:val="0"/>
          <w:i/>
        </w:rPr>
        <w:t>Hà Nội, ngày 17 tháng 9 năm 2007</w:t>
      </w:r>
      <w:r>
        <w:rPr>
          <w:b w:val="0"/>
          <w:i/>
        </w:rPr>
        <w:br/>
      </w:r>
      <w:r>
        <w:rPr>
          <w:b w:val="0"/>
          <w:i w:val="0"/>
        </w:rPr>
        <w:br/>
      </w:r>
    </w:p>
    <w:p>
      <w:pPr>
        <w:jc w:val="center"/>
      </w:pPr>
      <w:r>
        <w:rPr>
          <w:b w:val="0"/>
          <w:i w:val="0"/>
        </w:rPr>
        <w:br/>
      </w:r>
      <w:r>
        <w:rPr>
          <w:b w:val="0"/>
          <w:i w:val="0"/>
        </w:rPr>
        <w:t>Số: 1230/QĐ-TTg</w:t>
      </w:r>
      <w:r>
        <w:rPr>
          <w:b w:val="0"/>
          <w:i w:val="0"/>
        </w:rPr>
        <w:br/>
      </w:r>
    </w:p>
    <w:p>
      <w:pPr>
        <w:jc w:val="center"/>
      </w:pPr>
      <w:r>
        <w:rPr>
          <w:b w:val="0"/>
          <w:i w:val="0"/>
        </w:rPr>
        <w:br/>
      </w:r>
      <w:r>
        <w:rPr>
          <w:b w:val="0"/>
          <w:i w:val="0"/>
        </w:rPr>
        <w:t>Hà Nội, ngày 17 tháng 9 năm 2007</w:t>
      </w:r>
      <w:r>
        <w:rPr>
          <w:b w:val="0"/>
          <w:i w:val="0"/>
        </w:rPr>
        <w:br/>
      </w:r>
    </w:p>
    <w:p>
      <w:r>
        <w:rPr>
          <w:b/>
          <w:i w:val="0"/>
        </w:rPr>
        <w:t>QUYẾT ĐỊNH</w:t>
      </w:r>
    </w:p>
    <w:p>
      <w:r>
        <w:rPr>
          <w:b/>
          <w:i w:val="0"/>
        </w:rPr>
        <w:t xml:space="preserve">Phê duyệt kế hoạch sắp xếp, đổi mới doanh nghiệp 100% vốn nhà nước thuộc Ủy ban nhân dân tỉnh </w:t>
      </w:r>
      <w:r>
        <w:rPr>
          <w:b/>
          <w:i w:val="0"/>
        </w:rPr>
        <w:t>Hà Nam giai đoạn 2007 - 2010</w:t>
      </w:r>
    </w:p>
    <w:p>
      <w:r>
        <w:rPr>
          <w:b/>
          <w:i w:val="0"/>
        </w:rPr>
        <w:t>___________________________</w:t>
      </w:r>
    </w:p>
    <w:p>
      <w:r>
        <w:rPr>
          <w:b/>
          <w:i w:val="0"/>
        </w:rPr>
        <w:t>THỦ TƯỚNG CHÍNH PHỦ</w:t>
      </w:r>
    </w:p>
    <w:p>
      <w:r>
        <w:rPr>
          <w:b w:val="0"/>
          <w:i/>
        </w:rPr>
        <w:t>Căn cứ Luật Tổ chức Chính phủ ngày 25 tháng 12 năm 2001;</w:t>
      </w:r>
    </w:p>
    <w:p>
      <w:r>
        <w:rPr>
          <w:b w:val="0"/>
          <w:i/>
        </w:rPr>
        <w:t>Căn cứ Luật Doanh nghiệp nhà nước ngày 26 tháng 11 năm 2003;</w:t>
      </w:r>
    </w:p>
    <w:p>
      <w:r>
        <w:rPr>
          <w:b w:val="0"/>
          <w:i/>
        </w:rPr>
        <w:t>Căn cứ Quyết định số 38/2007/QĐ-TTg ngày 20 tháng 3 năm 2007 của Thủ tướng Chính phủ về ban hành tiêu chí, danh mục phân loại doanh nghiệp 100% vốn nhà nước;</w:t>
      </w:r>
    </w:p>
    <w:p>
      <w:r>
        <w:rPr>
          <w:b w:val="0"/>
          <w:i/>
        </w:rPr>
        <w:t>Xét đề nghị của Ủy ban nhân dân tỉnh Hà Nam,</w:t>
      </w:r>
    </w:p>
    <w:p>
      <w:r>
        <w:rPr>
          <w:b/>
          <w:i w:val="0"/>
        </w:rPr>
        <w:t>QUYẾT ĐỊNH:</w:t>
      </w:r>
    </w:p>
    <w:p>
      <w:r>
        <w:rPr>
          <w:b/>
          <w:i w:val="0"/>
        </w:rPr>
        <w:t xml:space="preserve">Điều 1. </w:t>
      </w:r>
      <w:r>
        <w:rPr>
          <w:b w:val="0"/>
          <w:i w:val="0"/>
        </w:rPr>
        <w:t>Phê duyệt Kế hoạch sắp xếp, đổi mới doanh nghiệp 100% vốn nhà nước thuộc Ủy ban nhân dân tỉnh Hà Nam giai đoạn 2007-2010 như sau:</w:t>
      </w:r>
    </w:p>
    <w:p>
      <w:r>
        <w:rPr>
          <w:b w:val="0"/>
          <w:i w:val="0"/>
        </w:rPr>
        <w:t>1. Chuyển thành Công ty trách nhiệm hữu hạn một thành viên (năm 2008):</w:t>
      </w:r>
    </w:p>
    <w:p>
      <w:r>
        <w:rPr>
          <w:b w:val="0"/>
          <w:i w:val="0"/>
        </w:rPr>
        <w:t>- Công ty Khai thác công trình Thủy lợi Nam Hà Nam;</w:t>
      </w:r>
    </w:p>
    <w:p>
      <w:r>
        <w:rPr>
          <w:b w:val="0"/>
          <w:i w:val="0"/>
        </w:rPr>
        <w:t>- Công ty Khai thác công trình Thủy lợi Kim Bảng;</w:t>
      </w:r>
    </w:p>
    <w:p>
      <w:r>
        <w:rPr>
          <w:b w:val="0"/>
          <w:i w:val="0"/>
        </w:rPr>
        <w:t>- Công ty Khai thác công trình Thủy lợi Duy Tiên;</w:t>
      </w:r>
    </w:p>
    <w:p>
      <w:r>
        <w:rPr>
          <w:b w:val="0"/>
          <w:i w:val="0"/>
        </w:rPr>
        <w:t>- Công ty Xổ số kiến thiết.</w:t>
      </w:r>
    </w:p>
    <w:p>
      <w:r>
        <w:rPr>
          <w:b w:val="0"/>
          <w:i w:val="0"/>
        </w:rPr>
        <w:t>2. Thực hiện cổ phần hóa:</w:t>
      </w:r>
    </w:p>
    <w:p>
      <w:r>
        <w:rPr>
          <w:b w:val="0"/>
          <w:i w:val="0"/>
        </w:rPr>
        <w:t>- Công ty trách nhiệm hữu hạn một thành viên Công trình đô thị Hà Nam (năm 2008)</w:t>
      </w:r>
    </w:p>
    <w:p>
      <w:r>
        <w:rPr>
          <w:b w:val="0"/>
          <w:i w:val="0"/>
        </w:rPr>
        <w:t>- Công ty trách nhiệm hữu hạn một thành viên Cấp nước Hà Nam (năm 2009).</w:t>
      </w:r>
    </w:p>
    <w:p>
      <w:r>
        <w:rPr>
          <w:b/>
          <w:i w:val="0"/>
        </w:rPr>
        <w:t>Điều 2.</w:t>
      </w:r>
    </w:p>
    <w:p>
      <w:r>
        <w:rPr>
          <w:b w:val="0"/>
          <w:i w:val="0"/>
        </w:rPr>
        <w:t>1. Chủ tịch Ủy ban nhân dân tỉnh Hà Nam có trách nhiệm:</w:t>
      </w:r>
    </w:p>
    <w:p>
      <w:r>
        <w:rPr>
          <w:b w:val="0"/>
          <w:i w:val="0"/>
        </w:rPr>
        <w:t>a) Chỉ đạo thực hiện việc sắp xếp, đổi mới doanh nghiệp 100% vốn nhà nước trực thuộc theo đúng nội dung và tiến độ được duyệt;</w:t>
      </w:r>
    </w:p>
    <w:p>
      <w:r>
        <w:rPr>
          <w:b w:val="0"/>
          <w:i w:val="0"/>
        </w:rPr>
        <w:t>b) Căn cứ tiêu chí, danh mục phân loại doanh nghiệp 100% vốn nhà nước ban hành kèm theo Quyết định số 38/2007/QĐ-TTg ngày 20 tháng 3 năm 2007 của Thủ tướng Chính phủ để quyết định tỷ lệ cổ phần do Nhà nước nắm giữ khi thực hiện cổ phần hóa công ty nêu tại Quyết định này.</w:t>
      </w:r>
    </w:p>
    <w:p>
      <w:r>
        <w:rPr>
          <w:b w:val="0"/>
          <w:i w:val="0"/>
        </w:rPr>
        <w:t>2. Các Bộ: Tài chính, Kế hoạch và Đầu tư, Nội vụ, Lao động-Thương binh và Xã hội và các cơ quan liên quan có trách nhiệm phối hợp với Ủy ban nhân dân tỉnh Hà Nam trong việc thực hiện Quyết định này.</w:t>
      </w:r>
    </w:p>
    <w:p>
      <w:r>
        <w:rPr>
          <w:b w:val="0"/>
          <w:i w:val="0"/>
        </w:rPr>
        <w:t>3. Ban Chỉ đạo Đổi mới và Phát triển doanh nghiệp chịu trách nhiệm chỉ đạo, đôn đốc, hướng dẫn và theo dõi việc thực hiện.</w:t>
      </w:r>
    </w:p>
    <w:p>
      <w:r>
        <w:rPr>
          <w:b/>
          <w:i w:val="0"/>
        </w:rPr>
        <w:t>Điều 3.</w:t>
      </w:r>
      <w:r>
        <w:rPr>
          <w:b w:val="0"/>
          <w:i w:val="0"/>
        </w:rPr>
        <w:t xml:space="preserve"> Quyết định này có hiệu lực thi hành từ ngày ký ban hành.</w:t>
      </w:r>
    </w:p>
    <w:p>
      <w:r>
        <w:rPr>
          <w:b w:val="0"/>
          <w:i w:val="0"/>
        </w:rPr>
        <w:t>Chủ tịch Ủy ban nhân dân tỉnh Hà Nam và Thủ trưởng các cơ quan liên quan chịu trách nhiệm thi hành Quyết định này./.</w:t>
      </w:r>
    </w:p>
    <w:p>
      <w:r>
        <w:rPr>
          <w:b w:val="0"/>
          <w:i w:val="0"/>
        </w:rPr>
        <w:br/>
      </w:r>
      <w:r>
        <w:rPr>
          <w:b w:val="0"/>
          <w:i w:val="0"/>
        </w:rPr>
        <w:br/>
      </w:r>
      <w:r>
        <w:rPr>
          <w:b/>
          <w:i w:val="0"/>
        </w:rPr>
        <w:br/>
      </w:r>
      <w:r>
        <w:rPr>
          <w:b/>
          <w:i w:val="0"/>
        </w:rPr>
        <w:br/>
      </w:r>
      <w:r>
        <w:rPr>
          <w:b/>
          <w:i w:val="0"/>
        </w:rPr>
        <w:t xml:space="preserve">KT. THỦ TƯỚNG </w:t>
      </w:r>
      <w:r>
        <w:rPr>
          <w:b/>
          <w:i w:val="0"/>
        </w:rPr>
        <w:br/>
      </w:r>
      <w:r>
        <w:br/>
      </w:r>
      <w:r>
        <w:rPr>
          <w:b/>
          <w:i w:val="0"/>
        </w:rPr>
        <w:t>PHÓ THỦ TƯỚNG</w:t>
      </w:r>
      <w:r>
        <w:rPr>
          <w:b/>
          <w:i w:val="0"/>
        </w:rPr>
        <w:br/>
      </w:r>
      <w:r>
        <w:rPr>
          <w:b/>
          <w:i w:val="0"/>
        </w:rPr>
        <w:br/>
      </w:r>
      <w:r>
        <w:rPr>
          <w:b/>
          <w:i w:val="0"/>
        </w:rPr>
        <w:br/>
      </w:r>
      <w:r>
        <w:rPr>
          <w:b/>
          <w:i w:val="0"/>
        </w:rPr>
        <w:t>Nguyễn Sinh Hùng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w:t>
      </w:r>
      <w:r>
        <w:rPr>
          <w:b/>
          <w:i w:val="0"/>
        </w:rPr>
        <w:br/>
      </w:r>
      <w:r>
        <w:br/>
      </w:r>
      <w:r>
        <w:rPr>
          <w:b/>
          <w:i w:val="0"/>
        </w:rPr>
        <w:t>PHÓ THỦ TƯỚNG</w:t>
      </w:r>
      <w:r>
        <w:rPr>
          <w:b/>
          <w:i w:val="0"/>
        </w:rPr>
        <w:br/>
      </w:r>
      <w:r>
        <w:rPr>
          <w:b/>
          <w:i w:val="0"/>
        </w:rPr>
        <w:br/>
      </w:r>
      <w:r>
        <w:rPr>
          <w:b/>
          <w:i w:val="0"/>
        </w:rPr>
        <w:br/>
      </w:r>
      <w:r>
        <w:rPr>
          <w:b/>
          <w:i w:val="0"/>
        </w:rPr>
        <w:t>Nguyễn Sinh Hùng</w:t>
      </w:r>
      <w:r>
        <w:rPr>
          <w:b/>
          <w:i w:val="0"/>
        </w:rPr>
        <w:br/>
      </w:r>
      <w:r>
        <w:rPr>
          <w:b/>
          <w:i w:val="0"/>
        </w:rPr>
        <w:br/>
      </w:r>
      <w:r>
        <w:rPr>
          <w:b w:val="0"/>
          <w:i w:val="0"/>
        </w:rPr>
        <w:br/>
      </w:r>
    </w:p>
    <w:p>
      <w:pPr>
        <w:jc w:val="center"/>
      </w:pPr>
      <w:r>
        <w:rPr>
          <w:b w:val="0"/>
          <w:i w:val="0"/>
        </w:rPr>
        <w:br/>
      </w:r>
      <w:r>
        <w:rPr>
          <w:b/>
          <w:i w:val="0"/>
        </w:rPr>
        <w:br/>
      </w:r>
      <w:r>
        <w:rPr>
          <w:b/>
          <w:i w:val="0"/>
        </w:rPr>
        <w:t xml:space="preserve">KT. THỦ TƯỚNG </w:t>
      </w:r>
      <w:r>
        <w:rPr>
          <w:b/>
          <w:i w:val="0"/>
        </w:rPr>
        <w:br/>
      </w:r>
      <w:r>
        <w:br/>
      </w:r>
      <w:r>
        <w:rPr>
          <w:b/>
          <w:i w:val="0"/>
        </w:rPr>
        <w:t>PHÓ THỦ TƯỚNG</w:t>
      </w:r>
      <w:r>
        <w:rPr>
          <w:b/>
          <w:i w:val="0"/>
        </w:rPr>
        <w:br/>
      </w:r>
      <w:r>
        <w:rPr>
          <w:b w:val="0"/>
          <w:i w:val="0"/>
        </w:rPr>
        <w:br/>
      </w:r>
      <w:r>
        <w:rPr>
          <w:b/>
          <w:i w:val="0"/>
        </w:rPr>
        <w:br/>
      </w:r>
      <w:r>
        <w:rPr>
          <w:b/>
          <w:i w:val="0"/>
        </w:rPr>
        <w:t>Nguyễn Sinh Hùng</w:t>
      </w:r>
      <w:r>
        <w:rPr>
          <w:b/>
          <w:i w:val="0"/>
        </w:rPr>
        <w:br/>
      </w:r>
      <w:r>
        <w:rPr>
          <w:b w:val="0"/>
          <w:i w:val="0"/>
        </w:rPr>
        <w:br/>
      </w:r>
    </w:p>
    <w:p>
      <w:r>
        <w:rPr>
          <w:b w:val="0"/>
          <w:i w:val="0"/>
        </w:rPr>
        <w:br/>
      </w:r>
      <w:r>
        <w:rPr>
          <w:b w:val="0"/>
          <w:i w:val="0"/>
        </w:rPr>
        <w:t xml:space="preserve">KT. THỦ TƯỚNG </w:t>
      </w:r>
      <w:r>
        <w:rPr>
          <w:b w:val="0"/>
          <w:i w:val="0"/>
        </w:rPr>
        <w:br/>
      </w:r>
      <w:r>
        <w:br/>
      </w:r>
      <w:r>
        <w:rPr>
          <w:b w:val="0"/>
          <w:i w:val="0"/>
        </w:rPr>
        <w:t>PHÓ THỦ TƯỚNG</w:t>
      </w:r>
      <w:r>
        <w:rPr>
          <w:b w:val="0"/>
          <w:i w:val="0"/>
        </w:rPr>
        <w:br/>
      </w:r>
    </w:p>
    <w:p>
      <w:r>
        <w:rPr>
          <w:b w:val="0"/>
          <w:i w:val="0"/>
        </w:rPr>
        <w:br/>
      </w:r>
      <w:r>
        <w:rPr>
          <w:b w:val="0"/>
          <w:i w:val="0"/>
        </w:rPr>
        <w:t>Nguyễn Sinh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