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127/2004/QĐ-BCN Về việc chuyển Công ty Bóng đèn Điện Quang thành Công ty cổ phần Bóng đèn Điện Quang</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t>Số: 127/2004/QĐ-BCN</w:t>
      </w:r>
      <w:r>
        <w:rPr>
          <w:b w:val="0"/>
          <w:i w:val="0"/>
        </w:rPr>
        <w:br/>
      </w:r>
      <w:r>
        <w:rPr>
          <w:b w:val="0"/>
          <w:i w:val="0"/>
        </w:rPr>
        <w:br/>
      </w:r>
      <w:r>
        <w:rPr>
          <w:b w:val="0"/>
          <w:i/>
        </w:rPr>
        <w:br/>
      </w:r>
      <w:r>
        <w:rPr>
          <w:b w:val="0"/>
          <w:i/>
        </w:rPr>
        <w:t>Hà Nội, ngày 10 tháng 11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r>
        <w:rPr>
          <w:b w:val="0"/>
          <w:i w:val="0"/>
        </w:rPr>
        <w:br/>
      </w:r>
      <w:r>
        <w:rPr>
          <w:b w:val="0"/>
          <w:i w:val="0"/>
        </w:rPr>
        <w:br/>
      </w:r>
      <w:r>
        <w:rPr>
          <w:b w:val="0"/>
          <w:i w:val="0"/>
        </w:rPr>
        <w:br/>
      </w:r>
      <w:r>
        <w:rPr>
          <w:b w:val="0"/>
          <w:i w:val="0"/>
        </w:rPr>
        <w:t>Số: 127/2004/QĐ-BCN</w:t>
      </w:r>
      <w:r>
        <w:rPr>
          <w:b w:val="0"/>
          <w:i w:val="0"/>
        </w:rPr>
        <w:br/>
      </w:r>
      <w:r>
        <w:rPr>
          <w:b w:val="0"/>
          <w:i w:val="0"/>
        </w:rPr>
        <w:br/>
      </w:r>
      <w:r>
        <w:rPr>
          <w:b w:val="0"/>
          <w:i/>
        </w:rPr>
        <w:br/>
      </w:r>
      <w:r>
        <w:rPr>
          <w:b w:val="0"/>
          <w:i/>
        </w:rPr>
        <w:t>Hà Nội, ngày 10 tháng 11 năm 2004</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 xml:space="preserve">******** </w:t>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BỘ CÔNG NGHIỆP</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 xml:space="preserve">******** </w:t>
      </w:r>
      <w:r>
        <w:rPr>
          <w:b w:val="0"/>
          <w:i w:val="0"/>
        </w:rPr>
        <w:br/>
      </w:r>
    </w:p>
    <w:p>
      <w:r>
        <w:rPr>
          <w:b w:val="0"/>
          <w:i w:val="0"/>
        </w:rPr>
        <w:br/>
      </w:r>
      <w:r>
        <w:rPr>
          <w:b w:val="0"/>
          <w:i w:val="0"/>
        </w:rPr>
        <w:br/>
      </w:r>
      <w:r>
        <w:rPr>
          <w:b w:val="0"/>
          <w:i w:val="0"/>
        </w:rPr>
        <w:t>Số: 127/2004/QĐ-BCN</w:t>
      </w:r>
      <w:r>
        <w:rPr>
          <w:b w:val="0"/>
          <w:i w:val="0"/>
        </w:rPr>
        <w:br/>
      </w:r>
      <w:r>
        <w:rPr>
          <w:b w:val="0"/>
          <w:i w:val="0"/>
        </w:rPr>
        <w:br/>
      </w:r>
      <w:r>
        <w:rPr>
          <w:b w:val="0"/>
          <w:i/>
        </w:rPr>
        <w:br/>
      </w:r>
      <w:r>
        <w:rPr>
          <w:b w:val="0"/>
          <w:i/>
        </w:rPr>
        <w:t>Hà Nội, ngày 10 tháng 11 năm 2004</w:t>
      </w:r>
      <w:r>
        <w:rPr>
          <w:b w:val="0"/>
          <w:i/>
        </w:rPr>
        <w:br/>
      </w:r>
      <w:r>
        <w:rPr>
          <w:b w:val="0"/>
          <w:i w:val="0"/>
        </w:rPr>
        <w:br/>
      </w:r>
    </w:p>
    <w:p>
      <w:pPr>
        <w:jc w:val="center"/>
      </w:pPr>
      <w:r>
        <w:rPr>
          <w:b w:val="0"/>
          <w:i w:val="0"/>
        </w:rPr>
        <w:br/>
      </w:r>
      <w:r>
        <w:rPr>
          <w:b w:val="0"/>
          <w:i w:val="0"/>
        </w:rPr>
        <w:t>Số: 127/2004/QĐ-BCN</w:t>
      </w:r>
      <w:r>
        <w:rPr>
          <w:b w:val="0"/>
          <w:i w:val="0"/>
        </w:rPr>
        <w:br/>
      </w:r>
    </w:p>
    <w:p>
      <w:pPr>
        <w:jc w:val="center"/>
      </w:pPr>
      <w:r>
        <w:rPr>
          <w:b w:val="0"/>
          <w:i w:val="0"/>
        </w:rPr>
        <w:br/>
      </w:r>
      <w:r>
        <w:rPr>
          <w:b w:val="0"/>
          <w:i w:val="0"/>
        </w:rPr>
        <w:t>Hà Nội, ngày 10 tháng 11 năm 2004</w:t>
      </w:r>
      <w:r>
        <w:rPr>
          <w:b w:val="0"/>
          <w:i w:val="0"/>
        </w:rPr>
        <w:br/>
      </w:r>
    </w:p>
    <w:p>
      <w:r>
        <w:rPr>
          <w:b/>
          <w:i w:val="0"/>
        </w:rPr>
        <w:t xml:space="preserve">QUYẾT ĐỊNH </w:t>
      </w:r>
    </w:p>
    <w:p>
      <w:r>
        <w:rPr>
          <w:b/>
          <w:i w:val="0"/>
        </w:rPr>
        <w:t xml:space="preserve">Về việc chuyển Công ty Bóng đèn Điện Quang  </w:t>
      </w:r>
      <w:r>
        <w:rPr>
          <w:b/>
          <w:i w:val="0"/>
        </w:rPr>
        <w:t xml:space="preserve">thành </w:t>
      </w:r>
    </w:p>
    <w:p>
      <w:r>
        <w:rPr>
          <w:b/>
          <w:i w:val="0"/>
        </w:rPr>
        <w:t xml:space="preserve">Công ty cổ phần Bóng đèn Điện Quang </w:t>
      </w:r>
    </w:p>
    <w:p>
      <w:pPr>
        <w:jc w:val="center"/>
      </w:pPr>
      <w:r>
        <w:rPr>
          <w:b w:val="0"/>
          <w:i w:val="0"/>
        </w:rPr>
        <w:t xml:space="preserve"> 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Công ty Bóng đèn Điện Quang (Công văn số 1794/2004/ ngày 04 tháng 11 năm 2004), Phương án cổ phần hoá Công ty Bóng đèn Điện Quang và Biên bản thẩm định Phương án của Ban Đổi mới và Phát triển doanh nghiệp Bộ ngày 09 tháng 11 năm 2004; </w:t>
      </w:r>
    </w:p>
    <w:p>
      <w:r>
        <w:rPr>
          <w:b w:val="0"/>
          <w:i/>
        </w:rPr>
        <w:t xml:space="preserve">Theo đề nghị của Ban Đổi mới và Phát triển doanh nghiệp và Vụ trưởng Vụ Tổ chức - Cán bộ, </w:t>
      </w:r>
    </w:p>
    <w:p>
      <w:r>
        <w:rPr>
          <w:b/>
          <w:i w:val="0"/>
        </w:rPr>
        <w:t>QUYẾT ĐỊNH:</w:t>
      </w:r>
    </w:p>
    <w:p>
      <w:r>
        <w:rPr>
          <w:b/>
          <w:i w:val="0"/>
        </w:rPr>
        <w:t xml:space="preserve">Điều 1. </w:t>
      </w:r>
      <w:r>
        <w:rPr>
          <w:b w:val="0"/>
          <w:i w:val="0"/>
        </w:rPr>
        <w:t>Phê duyệt Phương án cổ phần hoá Công ty Bóng đèn Điện Quang (doanh nghiệp trực thuộc Bộ Công nghiệp) gồm những điểm chính như sau:</w:t>
      </w:r>
    </w:p>
    <w:p>
      <w:r>
        <w:rPr>
          <w:b w:val="0"/>
          <w:i w:val="0"/>
        </w:rPr>
        <w:t>1. Cơ cấu vốn điều lệ:</w:t>
      </w:r>
    </w:p>
    <w:p>
      <w:r>
        <w:rPr>
          <w:b w:val="0"/>
          <w:i w:val="0"/>
        </w:rPr>
        <w:t>Vốn điều lệ của Công ty cổ phần là 23.500.000.000 đồng (Hai ba tỷ năm trăm triệu đồng chẵn). Trong đó:</w:t>
      </w:r>
    </w:p>
    <w:p>
      <w:r>
        <w:rPr>
          <w:b w:val="0"/>
          <w:i w:val="0"/>
        </w:rPr>
        <w:t>- Tỷ lệ cổ phần của Nhà nước: 51,00 %;</w:t>
      </w:r>
    </w:p>
    <w:p>
      <w:r>
        <w:rPr>
          <w:b w:val="0"/>
          <w:i w:val="0"/>
        </w:rPr>
        <w:t>- Tỷ lệ cổ phần bán cho người lao động trong Công ty: 49,00 %.</w:t>
      </w:r>
    </w:p>
    <w:p>
      <w:r>
        <w:rPr>
          <w:b w:val="0"/>
          <w:i w:val="0"/>
        </w:rPr>
        <w:t>Trị giá một cổ phần: 100.000 đồng.</w:t>
      </w:r>
    </w:p>
    <w:p>
      <w:r>
        <w:rPr>
          <w:b w:val="0"/>
          <w:i w:val="0"/>
        </w:rPr>
        <w:t>2. Giá trị thực tế của Công ty Bóng đèn Điện Quang tại thời điểm ngày 31 tháng 12 năm 2003 để cổ phần hoá (Quyết định số 2911/QĐ-TCKT ngày 03 tháng 11 năm 2004 của Bộ Công nghiệp) là 245.318.140.885 đồng. Trong đó, giá trị thực tế phần vốn Nhà nước tại Công ty là 15.984.522.996 đồng.</w:t>
      </w:r>
    </w:p>
    <w:p>
      <w:r>
        <w:rPr>
          <w:b w:val="0"/>
          <w:i w:val="0"/>
        </w:rPr>
        <w:t>3. Ưu đãi cho người lao động trong Công ty.</w:t>
      </w:r>
    </w:p>
    <w:p>
      <w:r>
        <w:rPr>
          <w:b w:val="0"/>
          <w:i w:val="0"/>
        </w:rPr>
        <w:t>Tổng số cổ phần bán ưu đãi cho 1.138 lao động trong Công ty là 155.150 cổ phần với giá trị được ưu đãi là 3.454.500.000 đồng.</w:t>
      </w:r>
    </w:p>
    <w:p>
      <w:r>
        <w:rPr>
          <w:b w:val="0"/>
          <w:i w:val="0"/>
        </w:rPr>
        <w:t>4. Về chi phí cổ phần hoá, đào tạo lại lao động và giải quyết lao động dôi dư, Công ty làm thủ tục, báo cáo Bộ Công nghiệp và các cơ quan có thẩm quyền của Nhà nước phê duyệt theo các quy định hiện hành.</w:t>
      </w:r>
    </w:p>
    <w:p>
      <w:r>
        <w:rPr>
          <w:b/>
          <w:i w:val="0"/>
        </w:rPr>
        <w:t xml:space="preserve">Điều 2. </w:t>
      </w:r>
      <w:r>
        <w:rPr>
          <w:b w:val="0"/>
          <w:i w:val="0"/>
        </w:rPr>
        <w:t>Chuyển Công ty Bóng đèn Điện Quang thành Công ty cổ phần Bóng đèn Điện Quang,</w:t>
      </w:r>
    </w:p>
    <w:p>
      <w:r>
        <w:rPr>
          <w:b w:val="0"/>
          <w:i w:val="0"/>
        </w:rPr>
        <w:t xml:space="preserve">- Tên giao dịch quốc tế: </w:t>
      </w:r>
      <w:r>
        <w:rPr>
          <w:b/>
          <w:i w:val="0"/>
        </w:rPr>
        <w:t>DIEN QUANG LAMP JOINT STOCK COMPANY</w:t>
      </w:r>
      <w:r>
        <w:rPr>
          <w:b w:val="0"/>
          <w:i w:val="0"/>
        </w:rPr>
        <w:t>;</w:t>
      </w:r>
    </w:p>
    <w:p>
      <w:r>
        <w:rPr>
          <w:b w:val="0"/>
          <w:i w:val="0"/>
        </w:rPr>
        <w:t xml:space="preserve">- Tên viết tắt: </w:t>
      </w:r>
      <w:r>
        <w:rPr>
          <w:b/>
          <w:i w:val="0"/>
        </w:rPr>
        <w:t>đq</w:t>
      </w:r>
      <w:r>
        <w:rPr>
          <w:b w:val="0"/>
          <w:i w:val="0"/>
        </w:rPr>
        <w:t>;</w:t>
      </w:r>
    </w:p>
    <w:p>
      <w:r>
        <w:rPr>
          <w:b w:val="0"/>
          <w:i w:val="0"/>
        </w:rPr>
        <w:t>- Trụ sở chính: 121-123-125 Hàm Nghi, quận 1, Thành phố Hồ Chí Minh.</w:t>
      </w:r>
    </w:p>
    <w:p>
      <w:r>
        <w:rPr>
          <w:b/>
          <w:i w:val="0"/>
        </w:rPr>
        <w:t xml:space="preserve">Điều 3. </w:t>
      </w:r>
      <w:r>
        <w:rPr>
          <w:b w:val="0"/>
          <w:i w:val="0"/>
        </w:rPr>
        <w:t>Công ty cổ phần kinh doanh các ngành nghề:</w:t>
      </w:r>
    </w:p>
    <w:p>
      <w:r>
        <w:rPr>
          <w:b w:val="0"/>
          <w:i w:val="0"/>
        </w:rPr>
        <w:t>- Sản xuất, kinh doanh các loại bóng đèn, ballast, starte, dây điện, trang thiết bị chiếu sáng; ống thuỷ tinh và sản phẩm thuỷ tinh các loại;</w:t>
      </w:r>
    </w:p>
    <w:p>
      <w:r>
        <w:rPr>
          <w:b w:val="0"/>
          <w:i w:val="0"/>
        </w:rPr>
        <w:t>- Kinh doanh các loại nguyên liệu, vật tư, hoá chất, phụ tùng thiết bị chiếu sáng, thiết bị điện dân dụng và công nghiệp;</w:t>
      </w:r>
    </w:p>
    <w:p>
      <w:r>
        <w:rPr>
          <w:b w:val="0"/>
          <w:i w:val="0"/>
        </w:rPr>
        <w:t>- Xuất nhập khẩu các loại bóng đèn, thiết bị chiếu sáng, thiết bị điện;</w:t>
      </w:r>
    </w:p>
    <w:p>
      <w:r>
        <w:rPr>
          <w:b w:val="0"/>
          <w:i w:val="0"/>
        </w:rPr>
        <w:t>- Dịch vụ thương mại, du lịch;</w:t>
      </w:r>
    </w:p>
    <w:p>
      <w:r>
        <w:rPr>
          <w:b w:val="0"/>
          <w:i w:val="0"/>
        </w:rPr>
        <w:t xml:space="preserve">- Tư vấn, thiết kế, xây lắp, bảo trì hệ thống điện, hệ thống điện chiếu sáng trong các công trình công nghiệp và dân dụng; </w:t>
      </w:r>
    </w:p>
    <w:p>
      <w:r>
        <w:rPr>
          <w:b w:val="0"/>
          <w:i w:val="0"/>
        </w:rPr>
        <w:t>- Xây dựng dân dụng, công nghiệp và hạ tầng;</w:t>
      </w:r>
    </w:p>
    <w:p>
      <w:r>
        <w:rPr>
          <w:b w:val="0"/>
          <w:i w:val="0"/>
        </w:rPr>
        <w:t>- Kinh doanh các ngành nghề khác phù hợp với quy định của pháp luật.</w:t>
      </w:r>
    </w:p>
    <w:p>
      <w:r>
        <w:rPr>
          <w:b/>
          <w:i w:val="0"/>
        </w:rPr>
        <w:t xml:space="preserve">Điều 4. </w:t>
      </w:r>
      <w:r>
        <w:rPr>
          <w:b w:val="0"/>
          <w:i w:val="0"/>
        </w:rPr>
        <w:t>Công ty cổ phần Bóng đèn Điện Quang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Công ty Bóng đèn Điện Quang tổ chức bán cổ phần và tổ chức Đại hội đồng cổ đông lần đầu Công ty cổ phần Bóng đèn Điện Quang theo đúng quy định hiện hành.</w:t>
      </w:r>
    </w:p>
    <w:p>
      <w:r>
        <w:rPr>
          <w:b w:val="0"/>
          <w:i w:val="0"/>
        </w:rPr>
        <w:t>Tổng giám đốc và Kế toán trưởng Công ty Bóng đèn Điện Quang có trách nhiệm điều hành công việc của Công ty cho đến khi bàn giao toàn bộ vốn, tài sản, lao động, đất đai cho Hội đồng quản trị và Tổng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Tổng giám đốc Công ty Bóng đèn Điện Quang và Chủ tịch Hội đồng quản trị, Tổng giám đốc Công ty cổ phần Bóng đèn Điện Quang chịu trách nhiệm thi hành Quyết định này./.</w:t>
      </w:r>
    </w:p>
    <w:p>
      <w:r>
        <w:rPr>
          <w:b w:val="0"/>
          <w:i w:val="0"/>
        </w:rPr>
        <w:br/>
      </w:r>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Bùi Xuân Khu</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Bùi Xuân Khu</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Bùi Xuân Khu</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