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127/2005/QĐ-TTg Về việc phê duyệt điều chỉnh phương án sắp xếp, đổi mới một số công ty nhà nước thuộc Uỷ ban nhân dân tỉnh Lạng Sơn</w:t>
      </w:r>
    </w:p>
    <w:p>
      <w:r>
        <w:rPr>
          <w:b w:val="0"/>
          <w:i w:val="0"/>
        </w:rPr>
        <w:br/>
      </w:r>
      <w:r>
        <w:rPr>
          <w:b w:val="0"/>
          <w:i w:val="0"/>
        </w:rPr>
        <w:br/>
      </w:r>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127/2005/QĐ-TTg</w:t>
        <w:br/>
        <w:t xml:space="preserve">     </w:t>
      </w:r>
      <w:r>
        <w:rPr>
          <w:b w:val="0"/>
          <w:i w:val="0"/>
        </w:rPr>
        <w:br/>
      </w:r>
      <w:r>
        <w:rPr>
          <w:b w:val="0"/>
          <w:i/>
        </w:rPr>
        <w:br/>
        <w:t xml:space="preserve">      Hà Nội, Ngày 01 tháng 6 năm 2005</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127/2005/QĐ-TTg</w:t>
        <w:br/>
        <w:t xml:space="preserve">     </w:t>
      </w:r>
      <w:r>
        <w:rPr>
          <w:b w:val="0"/>
          <w:i w:val="0"/>
        </w:rPr>
        <w:br/>
      </w:r>
      <w:r>
        <w:rPr>
          <w:b w:val="0"/>
          <w:i/>
        </w:rPr>
        <w:br/>
        <w:t xml:space="preserve">      Hà Nội, Ngày 01 tháng 6 năm 2005</w:t>
        <w:br/>
        <w:t xml:space="preserve">     </w:t>
      </w:r>
      <w:r>
        <w:rPr>
          <w:b w:val="0"/>
          <w:i w:val="0"/>
        </w:rPr>
        <w:br/>
      </w:r>
      <w:r>
        <w:rPr>
          <w:b w:val="0"/>
          <w:i w:val="0"/>
        </w:rPr>
        <w:br/>
      </w:r>
    </w:p>
    <w:p>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THỦ TƯỚNG CHÍNH PHỦ</w:t>
        <w:br/>
        <w:t xml:space="preserve">      </w:t>
      </w:r>
      <w:r>
        <w:rPr>
          <w:b w:val="0"/>
          <w:i w:val="0"/>
        </w:rPr>
        <w:br/>
      </w:r>
      <w:r>
        <w:rPr>
          <w:b w:val="0"/>
          <w:i w:val="0"/>
        </w:rPr>
        <w:br/>
      </w:r>
    </w:p>
    <w:p>
      <w:r>
        <w:rPr>
          <w:b w:val="0"/>
          <w:i w:val="0"/>
        </w:rPr>
        <w:br/>
        <w:t xml:space="preserve">       THỦ TƯỚNG CHÍNH PHỦ</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127/2005/QĐ-TTg</w:t>
        <w:br/>
        <w:t xml:space="preserve">     </w:t>
      </w:r>
      <w:r>
        <w:rPr>
          <w:b w:val="0"/>
          <w:i w:val="0"/>
        </w:rPr>
        <w:br/>
      </w:r>
      <w:r>
        <w:rPr>
          <w:b w:val="0"/>
          <w:i/>
        </w:rPr>
        <w:br/>
        <w:t xml:space="preserve">      Hà Nội, Ngày 01 tháng 6 năm 2005</w:t>
        <w:br/>
        <w:t xml:space="preserve">     </w:t>
      </w:r>
      <w:r>
        <w:rPr>
          <w:b w:val="0"/>
          <w:i w:val="0"/>
        </w:rPr>
        <w:br/>
      </w:r>
    </w:p>
    <w:p>
      <w:pPr>
        <w:jc w:val="center"/>
      </w:pPr>
      <w:r>
        <w:rPr>
          <w:b w:val="0"/>
          <w:i w:val="0"/>
        </w:rPr>
        <w:br/>
        <w:t xml:space="preserve">      Số: 127/2005/QĐ-TTg</w:t>
        <w:br/>
        <w:t xml:space="preserve">     </w:t>
      </w:r>
    </w:p>
    <w:p>
      <w:pPr>
        <w:jc w:val="center"/>
      </w:pPr>
      <w:r>
        <w:rPr>
          <w:b w:val="0"/>
          <w:i w:val="0"/>
        </w:rPr>
        <w:br/>
        <w:t xml:space="preserve">      Hà Nội, Ngày 01 tháng 6 năm 2005</w:t>
        <w:br/>
        <w:t xml:space="preserve">     </w:t>
      </w:r>
    </w:p>
    <w:p>
      <w:r>
        <w:rPr>
          <w:b/>
          <w:i w:val="0"/>
        </w:rPr>
        <w:t xml:space="preserve">QUYẾT ĐỊNH </w:t>
      </w:r>
    </w:p>
    <w:p>
      <w:r>
        <w:rPr>
          <w:b/>
          <w:i w:val="0"/>
        </w:rPr>
        <w:t xml:space="preserve">Về việc phê duyệt điều chỉnh phương án sắp xếp, đổi mới </w:t>
      </w:r>
    </w:p>
    <w:p>
      <w:r>
        <w:rPr>
          <w:b/>
          <w:i w:val="0"/>
        </w:rPr>
        <w:t xml:space="preserve">một </w:t>
      </w:r>
      <w:r>
        <w:rPr>
          <w:b/>
          <w:i w:val="0"/>
        </w:rPr>
        <w:t>số công ty nhà nước thuộc Uỷ ban nhân dân tỉnh Lạng Sơn</w:t>
      </w:r>
    </w:p>
    <w:p>
      <w:r>
        <w:rPr>
          <w:b/>
          <w:i w:val="0"/>
        </w:rPr>
        <w:t>THỦ TƯỚNG CHÍNH PHỦ</w:t>
      </w:r>
    </w:p>
    <w:p>
      <w:r>
        <w:rPr>
          <w:b w:val="0"/>
          <w:i/>
        </w:rPr>
        <w:t>Căn cứ Luật Tổ chức Chính phủ ngày 25 tháng 12 năm 2001;</w:t>
      </w:r>
    </w:p>
    <w:p>
      <w:r>
        <w:rPr>
          <w:b w:val="0"/>
          <w:i/>
        </w:rPr>
        <w:t>Căn cứ Quyết định số 155/2004/QĐ-TTg ngày 24 tháng 8 năm 2004 của Thủ tướng Chính phủ về ban hành tiêu chí, danh mục phân loại công ty nhà nước và công ty thành viên hạch toán độc lập thuộc Tổng công ty nhà nước;</w:t>
      </w:r>
    </w:p>
    <w:p>
      <w:r>
        <w:rPr>
          <w:b w:val="0"/>
          <w:i/>
        </w:rPr>
        <w:t>Xét đề nghị của Uỷ ban nhân dân tỉnh Lạng Sơn,</w:t>
      </w:r>
    </w:p>
    <w:p>
      <w:r>
        <w:rPr>
          <w:b/>
          <w:i w:val="0"/>
        </w:rPr>
        <w:t>QUYẾT ĐỊNH:</w:t>
      </w:r>
    </w:p>
    <w:p>
      <w:r>
        <w:rPr>
          <w:b/>
          <w:i w:val="0"/>
        </w:rPr>
        <w:t xml:space="preserve">Điều 1. </w:t>
      </w:r>
      <w:r>
        <w:rPr>
          <w:b w:val="0"/>
          <w:i w:val="0"/>
        </w:rPr>
        <w:t>Phê duyệt điều chỉnh phương án sắp xếp, đổi mới một số công ty nhà nước thuộc Uỷ ban nhân dân tỉnh Lạng Sơn như Phụ lục kèm theo.</w:t>
      </w:r>
    </w:p>
    <w:p>
      <w:r>
        <w:rPr>
          <w:b w:val="0"/>
          <w:i w:val="0"/>
        </w:rPr>
        <w:t>Việc sắp xếp các lâm trường thực hiện theo quy định tại Nghị định số 200/2004/NĐ-CP ngày 03 tháng 12 năm 2004 của Chính phủ về sắp xếp, đổi mới và phát triển lâm trường quốc doanh.</w:t>
      </w:r>
    </w:p>
    <w:p>
      <w:r>
        <w:rPr>
          <w:b/>
          <w:i w:val="0"/>
        </w:rPr>
        <w:t xml:space="preserve">Điều 2. </w:t>
      </w:r>
      <w:r>
        <w:rPr>
          <w:b w:val="0"/>
          <w:i w:val="0"/>
        </w:rPr>
        <w:t>Chủ tịch Uỷ ban nhân dân tỉnh Lạng Sơn:</w:t>
      </w:r>
    </w:p>
    <w:p>
      <w:r>
        <w:rPr>
          <w:b w:val="0"/>
          <w:i w:val="0"/>
        </w:rPr>
        <w:t>1. Chỉ đạo thực hiện việc sắp xếp, đổi mới doanh nghiệp nhà nước trực thuộc tỉnh đã được phê duyệt tại Quyết định số 76/2003/QĐ-TTg ngày 29 tháng 4 năm 2003 của</w:t>
      </w:r>
      <w:r>
        <w:rPr>
          <w:b w:val="0"/>
          <w:i w:val="0"/>
        </w:rPr>
        <w:t xml:space="preserve"> Thủ tướng Chính phủ và Quyết định này. </w:t>
      </w:r>
    </w:p>
    <w:p>
      <w:r>
        <w:rPr>
          <w:b w:val="0"/>
          <w:i w:val="0"/>
        </w:rPr>
        <w:t>Đối với những doanh nghiệp không cổ phần hóa được thì chủ động chuyển sang một trong các hình thức: giao, bán hoặc giải thể, phá sản theo quy định hiện hành và báo cáo Thủ tướng Chính phủ.</w:t>
      </w:r>
    </w:p>
    <w:p>
      <w:r>
        <w:rPr>
          <w:b w:val="0"/>
          <w:i w:val="0"/>
        </w:rPr>
        <w:t>2. Căn cứ quy định hiện hành và thực trạng của doanh nghiệp, quyết định tỷ lệ cổ phần do Nhà nước nắm giữ khi bán cổ phần lần đầu tại từng công ty.</w:t>
      </w:r>
    </w:p>
    <w:p>
      <w:r>
        <w:rPr>
          <w:b/>
          <w:i w:val="0"/>
        </w:rPr>
        <w:t xml:space="preserve">Điều 3. </w:t>
      </w:r>
      <w:r>
        <w:rPr>
          <w:b w:val="0"/>
          <w:i w:val="0"/>
        </w:rPr>
        <w:t>Quyết định này có hiệu lực sau 15 ngày, kể từ ngày đăng Công báo.</w:t>
      </w:r>
    </w:p>
    <w:p>
      <w:r>
        <w:rPr>
          <w:b w:val="0"/>
          <w:i w:val="0"/>
        </w:rPr>
        <w:t>Chủ tịch Uỷ ban nhân dân tỉnh Lạng Sơn và Thủ trưởng các cơ quan liên quan chịu trách nhiệm thi hành Quyết định này.</w:t>
      </w:r>
    </w:p>
    <w:p>
      <w:pPr>
        <w:jc w:val="center"/>
      </w:pPr>
      <w:r>
        <w:rPr>
          <w:b w:val="0"/>
          <w:i w:val="0"/>
        </w:rPr>
        <w:br/>
        <w:t xml:space="preserve">                                                                                                            KT. THỦ TƯỚNG CHÍNH PHỦ </w:t>
        <w:br/>
        <w:t xml:space="preserve">   </w:t>
      </w:r>
      <w:r>
        <w:br/>
      </w:r>
      <w:r>
        <w:rPr>
          <w:b w:val="0"/>
          <w:i w:val="0"/>
        </w:rPr>
        <w:br/>
        <w:t xml:space="preserve">                                                                                                             PHÓ THỦ TƯỚNG</w:t>
        <w:br/>
        <w:t xml:space="preserve">  </w:t>
      </w:r>
    </w:p>
    <w:p>
      <w:pPr>
        <w:jc w:val="center"/>
      </w:pPr>
      <w:r>
        <w:rPr>
          <w:b w:val="0"/>
          <w:i w:val="0"/>
        </w:rPr>
        <w:br/>
        <w:t xml:space="preserve">                                                                                                             (Đã ký)</w:t>
        <w:br/>
        <w:t xml:space="preserve">  </w:t>
      </w:r>
    </w:p>
    <w:p>
      <w:pPr>
        <w:jc w:val="center"/>
      </w:pPr>
      <w:r>
        <w:rPr>
          <w:b w:val="0"/>
          <w:i w:val="0"/>
        </w:rPr>
        <w:br/>
        <w:t xml:space="preserve">                                                                                                               Nguyễn Tấn Dũng</w:t>
        <w:br/>
        <w:t xml:space="preserve">  </w:t>
      </w:r>
    </w:p>
    <w:p>
      <w:r>
        <w:rPr>
          <w:b/>
          <w:i w:val="0"/>
        </w:rPr>
        <w:t>Phụ lục</w:t>
      </w:r>
    </w:p>
    <w:p>
      <w:r>
        <w:rPr>
          <w:b/>
          <w:i w:val="0"/>
        </w:rPr>
        <w:t xml:space="preserve">DANH MỤC </w:t>
      </w:r>
    </w:p>
    <w:p>
      <w:r>
        <w:rPr>
          <w:b/>
          <w:i w:val="0"/>
        </w:rPr>
        <w:t>CÔNG TY NHÀ NƯỚC TRỰC THUỘC UỶ BAN</w:t>
      </w:r>
      <w:r>
        <w:br/>
      </w:r>
      <w:r>
        <w:rPr>
          <w:b/>
          <w:i w:val="0"/>
        </w:rPr>
        <w:br/>
        <w:t xml:space="preserve">     NHÂN DÂN TỈNH LẠNG SƠN ĐIỀU CHỈNH HÌNH THỨC SẮP XẾP</w:t>
      </w:r>
    </w:p>
    <w:p>
      <w:r>
        <w:rPr>
          <w:b w:val="0"/>
          <w:i/>
        </w:rPr>
        <w:t>(Ban hành kèm theo Quyết định số 127/2005/QĐ-TTg</w:t>
      </w:r>
      <w:r>
        <w:br/>
      </w:r>
      <w:r>
        <w:rPr>
          <w:b w:val="0"/>
          <w:i/>
        </w:rPr>
        <w:br/>
        <w:t xml:space="preserve">     ngày 01 tháng 6 năm 2005 của Thủ tướng Chính phủ)</w:t>
      </w:r>
    </w:p>
    <w:p>
      <w:r>
        <w:rPr>
          <w:b/>
          <w:i w:val="0"/>
        </w:rPr>
        <w:t>I. CÁC CÔNG TY CHUYỂN SANG CÔNG TY TRÁCH NHIỆM HỮU HẠN 1 THÀNH VIÊN</w:t>
      </w:r>
    </w:p>
    <w:p>
      <w:r>
        <w:rPr>
          <w:b w:val="0"/>
          <w:i w:val="0"/>
        </w:rPr>
        <w:t>1. Công ty Cấp thoát nước.</w:t>
      </w:r>
    </w:p>
    <w:p>
      <w:r>
        <w:rPr>
          <w:b w:val="0"/>
          <w:i w:val="0"/>
        </w:rPr>
        <w:t>2. Công ty Khai thác công trình thuỷ lợi.</w:t>
      </w:r>
    </w:p>
    <w:p>
      <w:r>
        <w:rPr>
          <w:b w:val="0"/>
          <w:i w:val="0"/>
        </w:rPr>
        <w:t>3. Công ty Đầu tư phát triển nhà và đô thị.</w:t>
      </w:r>
    </w:p>
    <w:p>
      <w:r>
        <w:rPr>
          <w:b w:val="0"/>
          <w:i w:val="0"/>
        </w:rPr>
        <w:t>4. Xí nghiệp In.</w:t>
      </w:r>
    </w:p>
    <w:p>
      <w:r>
        <w:rPr>
          <w:b/>
          <w:i w:val="0"/>
        </w:rPr>
        <w:t>II. CÁC CÔNG TY THỰC HIỆN CỔ PHẦN HÓA</w:t>
      </w:r>
    </w:p>
    <w:p>
      <w:r>
        <w:rPr>
          <w:b w:val="0"/>
          <w:i w:val="0"/>
        </w:rPr>
        <w:t>1. Công ty Xi măng và xây dựng công trình.</w:t>
      </w:r>
    </w:p>
    <w:p>
      <w:r>
        <w:rPr>
          <w:b w:val="0"/>
          <w:i w:val="0"/>
        </w:rPr>
        <w:t>2. Công ty Thương mại tổng hợp.</w:t>
      </w:r>
    </w:p>
    <w:p>
      <w:r>
        <w:rPr>
          <w:b w:val="0"/>
          <w:i w:val="0"/>
        </w:rPr>
        <w:t>3. Xí nghiệp Nông công nghiệp chè Thái Bình.</w:t>
      </w:r>
    </w:p>
    <w:p>
      <w:r>
        <w:rPr>
          <w:b/>
          <w:i w:val="0"/>
        </w:rPr>
        <w:t>III. Công ty thực hiện giải thể hoặc phá sản CÔNG TY THỰC HIỆN GIẢI THỂ HOẶC PHÁ SẢN</w:t>
      </w:r>
    </w:p>
    <w:p>
      <w:r>
        <w:rPr>
          <w:b w:val="0"/>
          <w:i w:val="0"/>
        </w:rPr>
        <w:t>Công ty Cơ khí và cơ điện nông nghiệp.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