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127/2006/QĐ-TTg Về việc phê duyệt Đề án chuyển Tổng công ty Thiết bị kỹ thuật điện sang tổ chức và hoạt động theo mô hình công ty mẹ - công ty con và thí điểm Hội đồng quản trị Tổng công ty ký hợp đồng với Tổng giám đốc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127/2006/QĐ-TTg</w:t>
      </w:r>
      <w:r>
        <w:rPr>
          <w:b w:val="0"/>
          <w:i w:val="0"/>
        </w:rPr>
        <w:br/>
      </w:r>
      <w:r>
        <w:rPr>
          <w:b w:val="0"/>
          <w:i w:val="0"/>
        </w:rPr>
        <w:br/>
      </w:r>
      <w:r>
        <w:rPr>
          <w:b w:val="0"/>
          <w:i/>
        </w:rPr>
        <w:t>Hà Nội, ngày 31 tháng 5 năm 2006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chuyển Tổng công ty Thiết bị kỹ thuật điện sang tổ chức và hoạt động theo mô hình công ty mẹ - công ty con và thí điểm Hội đồng quản trị Tổng công ty ký hợp đồng với Tổng giám đốc</w:t>
      </w:r>
      <w:r>
        <w:rPr>
          <w:b w:val="0"/>
          <w:i w:val="0"/>
        </w:rPr>
        <w:br/>
      </w:r>
      <w:r>
        <w:rPr>
          <w:b/>
          <w:i w:val="0"/>
        </w:rPr>
        <w:t>THỦ TƯỚNG CHÍNH PHỦ</w:t>
      </w:r>
      <w:r>
        <w:rPr>
          <w:b w:val="0"/>
          <w:i w:val="0"/>
        </w:rPr>
        <w:br/>
      </w:r>
      <w:r>
        <w:rPr>
          <w:b w:val="0"/>
          <w:i/>
        </w:rPr>
        <w:t xml:space="preserve">Căn cứ Luật Tổ chức Chính phủ ngày 25 tháng 12 năm 2001; </w:t>
      </w:r>
      <w:r>
        <w:rPr>
          <w:b w:val="0"/>
          <w:i w:val="0"/>
        </w:rPr>
        <w:br/>
      </w:r>
      <w:r>
        <w:rPr>
          <w:b w:val="0"/>
          <w:i/>
        </w:rPr>
        <w:t xml:space="preserve">Căn cứ Luật Doanh nghiệp nhà nước số 14/2003/QH11 ngày 26 tháng 11 năm 2003; </w:t>
      </w:r>
      <w:r>
        <w:rPr>
          <w:b w:val="0"/>
          <w:i w:val="0"/>
        </w:rPr>
        <w:br/>
      </w:r>
      <w:r>
        <w:rPr>
          <w:b w:val="0"/>
          <w:i/>
        </w:rPr>
        <w:t xml:space="preserve">Căn cứ Luật Doanh nghiệp số 13/1999/QH10 ngày 12 tháng 6 năm 1999; </w:t>
      </w:r>
      <w:r>
        <w:rPr>
          <w:b w:val="0"/>
          <w:i w:val="0"/>
        </w:rPr>
        <w:br/>
      </w:r>
      <w:r>
        <w:rPr>
          <w:b w:val="0"/>
          <w:i/>
        </w:rPr>
        <w:t xml:space="preserve">Căn cứ Nghị định số 153/2004/NĐ-CP ngày 09 tháng 8 năm 2004 của Chính phủ về tổ chức quản lý Tổng Công ty nhà nước và chuyển đổi Tổng Công ty nhà nước, công trình nhà nước độc lập theo mô hình công ty mẹ - công ty con; </w:t>
      </w:r>
      <w:r>
        <w:rPr>
          <w:b w:val="0"/>
          <w:i w:val="0"/>
        </w:rPr>
        <w:br/>
      </w:r>
      <w:r>
        <w:rPr>
          <w:b w:val="0"/>
          <w:i/>
        </w:rPr>
        <w:t>Xét đề nghị của Bộ trưởng Bộ Công nghiệp.</w:t>
      </w:r>
      <w:r>
        <w:rPr>
          <w:b w:val="0"/>
          <w:i w:val="0"/>
        </w:rPr>
        <w:br/>
      </w:r>
      <w:r>
        <w:rPr>
          <w:b/>
          <w:i w:val="0"/>
        </w:rPr>
        <w:t>QUYẾT ĐỊNH</w:t>
      </w:r>
      <w:r>
        <w:rPr>
          <w:b w:val="0"/>
          <w:i w:val="0"/>
        </w:rPr>
        <w:br/>
      </w:r>
      <w:r>
        <w:rPr>
          <w:b/>
          <w:i w:val="0"/>
        </w:rPr>
        <w:t>Điều 1.</w:t>
      </w:r>
      <w:r>
        <w:rPr>
          <w:b w:val="0"/>
          <w:i w:val="0"/>
        </w:rPr>
        <w:t xml:space="preserve"> Phê duyệt Đề án chuyển Tổng Công ty Thiết bị kỹ thuật điện sang tổ chức và hoạt động theo mô hình công ty mẹ - công ty con, với những nội dung chính như sau:</w:t>
      </w:r>
      <w:r>
        <w:rPr>
          <w:b w:val="0"/>
          <w:i w:val="0"/>
        </w:rPr>
        <w:br/>
      </w:r>
      <w:r>
        <w:rPr>
          <w:b w:val="0"/>
          <w:i w:val="0"/>
        </w:rPr>
        <w:t>1. Công ty mẹ - Tổng Công ty Thiết bị điện Việt Nam là công ty nhà nước, có tư cách pháp nhân, có con dấu riêng, được mở tài khoản tại Kho bạc Nhà nước và các ngân hàng; trực tiếp thực hiện các hoạt động sản xuất – kinh doanh và đầu tư vốn vào các công ty con, công ty liên kết; chịu trách nhiệm bảo toàn và phát triển vốn nhà nước tại công ty và vốn đầu tư vào các công ty con, công ty liên kết.</w:t>
      </w:r>
      <w:r>
        <w:rPr>
          <w:b w:val="0"/>
          <w:i w:val="0"/>
        </w:rPr>
        <w:br/>
      </w:r>
      <w:r>
        <w:rPr>
          <w:b w:val="0"/>
          <w:i w:val="0"/>
        </w:rPr>
        <w:t>Tên giao dịch quốc tế: Viet Nam Electrical Equipment Corporation.</w:t>
      </w:r>
      <w:r>
        <w:rPr>
          <w:b w:val="0"/>
          <w:i w:val="0"/>
        </w:rPr>
        <w:br/>
      </w:r>
      <w:r>
        <w:rPr>
          <w:b w:val="0"/>
          <w:i w:val="0"/>
        </w:rPr>
        <w:t>Tên viết tắt là: VEC.</w:t>
      </w:r>
      <w:r>
        <w:rPr>
          <w:b w:val="0"/>
          <w:i w:val="0"/>
        </w:rPr>
        <w:br/>
      </w:r>
      <w:r>
        <w:rPr>
          <w:b w:val="0"/>
          <w:i w:val="0"/>
        </w:rPr>
        <w:t>Trụ sở chính: số 41 Hai Bà Trưng, Quận Hoàn Kiếm, thành phố Hà Nội.</w:t>
      </w:r>
      <w:r>
        <w:rPr>
          <w:b w:val="0"/>
          <w:i w:val="0"/>
        </w:rPr>
        <w:br/>
      </w:r>
      <w:r>
        <w:rPr>
          <w:b w:val="0"/>
          <w:i w:val="0"/>
        </w:rPr>
        <w:t>Công ty mẹ được hình thành trên cơ sở tổ chức lại Văn phòng Tổng Công ty Thiết bị kỹ thuật điện và Công ty trách nhiệm hữu hạn một thành viên Thiết bị đo điện.</w:t>
      </w:r>
      <w:r>
        <w:rPr>
          <w:b w:val="0"/>
          <w:i w:val="0"/>
        </w:rPr>
        <w:br/>
      </w:r>
      <w:r>
        <w:rPr>
          <w:b w:val="0"/>
          <w:i w:val="0"/>
        </w:rPr>
        <w:t>Cơ cấu quản lý của công ty mẹ bao gồm: Hội đồng quản trị, Ban kiểm soát, Tổng giám đốc và bộ máy giúp việc.</w:t>
      </w:r>
      <w:r>
        <w:rPr>
          <w:b w:val="0"/>
          <w:i w:val="0"/>
        </w:rPr>
        <w:br/>
      </w:r>
      <w:r>
        <w:rPr>
          <w:b w:val="0"/>
          <w:i w:val="0"/>
        </w:rPr>
        <w:t>2.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mỗi công ty. Cụ thể như sau:</w:t>
      </w:r>
      <w:r>
        <w:rPr>
          <w:b w:val="0"/>
          <w:i w:val="0"/>
        </w:rPr>
        <w:br/>
      </w:r>
      <w:r>
        <w:rPr>
          <w:b w:val="0"/>
          <w:i w:val="0"/>
        </w:rPr>
        <w:t>a) Các công ty đã cổ phần hóa:</w:t>
      </w:r>
      <w:r>
        <w:rPr>
          <w:b w:val="0"/>
          <w:i w:val="0"/>
        </w:rPr>
        <w:br/>
      </w:r>
      <w:r>
        <w:rPr>
          <w:b w:val="0"/>
          <w:i w:val="0"/>
        </w:rPr>
        <w:t>- Công ty cổ phần Khí cụ điện 1.</w:t>
      </w:r>
      <w:r>
        <w:rPr>
          <w:b w:val="0"/>
          <w:i w:val="0"/>
        </w:rPr>
        <w:br/>
      </w:r>
      <w:r>
        <w:rPr>
          <w:b w:val="0"/>
          <w:i w:val="0"/>
        </w:rPr>
        <w:t>- Công ty cổ phần Chế tạo biến thế và Vật liệu điện Hà Nội.</w:t>
      </w:r>
      <w:r>
        <w:rPr>
          <w:b w:val="0"/>
          <w:i w:val="0"/>
        </w:rPr>
        <w:br/>
      </w:r>
      <w:r>
        <w:rPr>
          <w:b w:val="0"/>
          <w:i w:val="0"/>
        </w:rPr>
        <w:t>b) Các công ty chuyển thành công ty cổ phần trong các năm 2006 và 2007:</w:t>
      </w:r>
      <w:r>
        <w:rPr>
          <w:b w:val="0"/>
          <w:i w:val="0"/>
        </w:rPr>
        <w:br/>
      </w:r>
      <w:r>
        <w:rPr>
          <w:b w:val="0"/>
          <w:i w:val="0"/>
        </w:rPr>
        <w:t>- Công ty TNHH một thành viên Chế tạo máy điện Việt – Hung.</w:t>
      </w:r>
      <w:r>
        <w:rPr>
          <w:b w:val="0"/>
          <w:i w:val="0"/>
        </w:rPr>
        <w:br/>
      </w:r>
      <w:r>
        <w:rPr>
          <w:b w:val="0"/>
          <w:i w:val="0"/>
        </w:rPr>
        <w:t>- Công ty TNHH một thành viên Thiết bị điện.</w:t>
      </w:r>
      <w:r>
        <w:rPr>
          <w:b w:val="0"/>
          <w:i w:val="0"/>
        </w:rPr>
        <w:br/>
      </w:r>
      <w:r>
        <w:rPr>
          <w:b w:val="0"/>
          <w:i w:val="0"/>
        </w:rPr>
        <w:t>- Công ty TNHH một thành viên Dây và Cáp điện Việt Nam.</w:t>
      </w:r>
      <w:r>
        <w:rPr>
          <w:b w:val="0"/>
          <w:i w:val="0"/>
        </w:rPr>
        <w:br/>
      </w:r>
      <w:r>
        <w:rPr>
          <w:b w:val="0"/>
          <w:i w:val="0"/>
        </w:rPr>
        <w:t>- Công ty Vật tư và Xây dựng.</w:t>
      </w:r>
      <w:r>
        <w:rPr>
          <w:b w:val="0"/>
          <w:i w:val="0"/>
        </w:rPr>
        <w:br/>
      </w:r>
      <w:r>
        <w:rPr>
          <w:b w:val="0"/>
          <w:i w:val="0"/>
        </w:rPr>
        <w:t>3. Cơ cấu vốn điều lệ, ngành, nghề kinh doanh của Công ty mẹ và công ty con; tổ chức, quản lý Công ty mẹ; quan hệ giữa Công ty mẹ với chủ sở hữu nhà nước và với các công ty con, công ty liên kết được quy định trong Điều lệ tổ chức và hoạt động của Công ty mẹ.</w:t>
      </w:r>
      <w:r>
        <w:rPr>
          <w:b w:val="0"/>
          <w:i w:val="0"/>
        </w:rPr>
        <w:br/>
      </w:r>
      <w:r>
        <w:rPr>
          <w:b w:val="0"/>
          <w:i w:val="0"/>
        </w:rPr>
        <w:t>4. Công ty mẹ có trách nhiệm kế thừa các quyền, nghĩa vụ pháp lý và lợi ích hợp pháp của Tổng Công ty</w:t>
      </w:r>
      <w:r>
        <w:rPr>
          <w:b w:val="0"/>
          <w:i w:val="0"/>
        </w:rPr>
        <w:br/>
      </w:r>
      <w:r>
        <w:rPr>
          <w:b w:val="0"/>
          <w:i w:val="0"/>
        </w:rPr>
        <w:t>Thiết bị kỹ thuật điện.</w:t>
      </w:r>
      <w:r>
        <w:rPr>
          <w:b w:val="0"/>
          <w:i w:val="0"/>
        </w:rPr>
        <w:br/>
      </w:r>
      <w:r>
        <w:rPr>
          <w:b/>
          <w:i w:val="0"/>
        </w:rPr>
        <w:t xml:space="preserve">Điều 2. </w:t>
      </w:r>
      <w:r>
        <w:rPr>
          <w:b w:val="0"/>
          <w:i w:val="0"/>
        </w:rPr>
        <w:t>Đồng ý thí điểm việc Hội đồng quản trị ký hợp đồng với Tổng giám đốc tại Công ty mẹ - Tổng công ty Thiết bị điện Việt Nam.</w:t>
      </w:r>
      <w:r>
        <w:rPr>
          <w:b w:val="0"/>
          <w:i w:val="0"/>
        </w:rPr>
        <w:br/>
      </w:r>
      <w:r>
        <w:rPr>
          <w:b/>
          <w:i w:val="0"/>
        </w:rPr>
        <w:t xml:space="preserve">Điều 3. </w:t>
      </w:r>
      <w:r>
        <w:rPr>
          <w:b w:val="0"/>
          <w:i w:val="0"/>
        </w:rPr>
        <w:br/>
      </w:r>
      <w:r>
        <w:rPr>
          <w:b w:val="0"/>
          <w:i w:val="0"/>
        </w:rPr>
        <w:t>1. Giao Bộ trưởng Bộ Công nghiệp:</w:t>
      </w:r>
      <w:r>
        <w:rPr>
          <w:b w:val="0"/>
          <w:i w:val="0"/>
        </w:rPr>
        <w:br/>
      </w:r>
      <w:r>
        <w:rPr>
          <w:b w:val="0"/>
          <w:i w:val="0"/>
        </w:rPr>
        <w:t>- Chỉ đạo triển khai thực hiện Đề án chuyển Tổng Công ty Thiết bị kỹ thuật điện sang hoạt động theo mô hình công ty mẹ - công ty con; quyết định thành lập Công ty mẹ, hình thành các công ty con nói tại Điều 1 Quyết định này theo quy định hiện hành; chỉ đạo xác định vốn điều lệ và phê duyệt Điều lệ tổ chức và hoạt động của Công ty mẹ.</w:t>
      </w:r>
      <w:r>
        <w:rPr>
          <w:b w:val="0"/>
          <w:i w:val="0"/>
        </w:rPr>
        <w:br/>
      </w:r>
      <w:r>
        <w:rPr>
          <w:b w:val="0"/>
          <w:i w:val="0"/>
        </w:rPr>
        <w:t>- Phê duyệt Quy chế thí điểm Hội đồng quản trị Tổng công ty Thiết bị điện Việt Nam ký hợp đồng với Tổng giám đốc và chịu trách nhiệm chỉ đạo thực hiện theo đúng quy định hiện hành.</w:t>
      </w:r>
      <w:r>
        <w:rPr>
          <w:b w:val="0"/>
          <w:i w:val="0"/>
        </w:rPr>
        <w:br/>
      </w:r>
      <w:r>
        <w:rPr>
          <w:b w:val="0"/>
          <w:i w:val="0"/>
        </w:rPr>
        <w:t>2. Giao Bộ trưởng Bộ Tài chính phê duyệt Quy chế quản lý tài chính của Công ty mẹ.</w:t>
      </w:r>
      <w:r>
        <w:rPr>
          <w:b w:val="0"/>
          <w:i w:val="0"/>
        </w:rPr>
        <w:br/>
      </w:r>
      <w:r>
        <w:rPr>
          <w:b/>
          <w:i w:val="0"/>
        </w:rPr>
        <w:t xml:space="preserve">Điều 4. </w:t>
      </w:r>
      <w:r>
        <w:rPr>
          <w:b w:val="0"/>
          <w:i w:val="0"/>
        </w:rPr>
        <w:t>Quyết định này có hiệu lực thi hành 15 ngày, kể từ ngày đăng Công báo.</w:t>
      </w:r>
      <w:r>
        <w:rPr>
          <w:b w:val="0"/>
          <w:i w:val="0"/>
        </w:rPr>
        <w:br/>
      </w:r>
      <w:r>
        <w:rPr>
          <w:b w:val="0"/>
          <w:i w:val="0"/>
        </w:rPr>
        <w:t>Bộ trưởng các Bộ: Công nghiệp, Tài chính, Kế hoạch Đầu tư, Nội vụ, Lao động – Thương binh và Xã hội, Thống đốc Ngân hàng Nhà nước Việt Nam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rPr>
          <w:b w:val="0"/>
          <w:i w:val="0"/>
        </w:rPr>
        <w:br/>
        <w:t xml:space="preserve">          </w:t>
      </w:r>
      <w:r>
        <w:br/>
      </w:r>
      <w:r>
        <w:rPr>
          <w:b/>
          <w:i/>
        </w:rPr>
        <w:t>(Đã ký)</w:t>
      </w:r>
      <w:r>
        <w:rPr>
          <w:b w:val="0"/>
          <w:i w:val="0"/>
        </w:rPr>
        <w:t xml:space="preserve"> </w:t>
      </w:r>
      <w:r>
        <w:br/>
      </w:r>
      <w:r>
        <w:br/>
      </w:r>
      <w:r>
        <w:rPr>
          <w:b w:val="0"/>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rPr>
                <w:b w:val="0"/>
                <w:i w:val="0"/>
              </w:rPr>
              <w:br/>
              <w:t xml:space="preserve">          </w:t>
            </w:r>
            <w:r>
              <w:br/>
            </w:r>
            <w:r>
              <w:rPr>
                <w:b/>
                <w:i/>
              </w:rPr>
              <w:t>(Đã ký)</w:t>
            </w:r>
            <w:r>
              <w:rPr>
                <w:b w:val="0"/>
                <w:i w:val="0"/>
              </w:rPr>
              <w:t xml:space="preserve"> </w:t>
            </w:r>
            <w:r>
              <w:br/>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