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127/2025/QĐ-UBND Bãi bỏ các văn bản quy phạm pháp luật của Ủy ban nhân dân thành phố Huế</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127/2025/QĐ-UBND</w:t>
        <w:br/>
        <w:t xml:space="preserve">     </w:t>
      </w:r>
      <w:r>
        <w:rPr>
          <w:b w:val="0"/>
          <w:i w:val="0"/>
        </w:rPr>
        <w:br/>
      </w:r>
      <w:r>
        <w:rPr>
          <w:b w:val="0"/>
          <w:i/>
        </w:rPr>
        <w:br/>
        <w:t xml:space="preserve">      Huế, ngày 25 tháng 11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127/2025/QĐ-UBND</w:t>
        <w:br/>
        <w:t xml:space="preserve">     </w:t>
      </w:r>
      <w:r>
        <w:rPr>
          <w:b w:val="0"/>
          <w:i w:val="0"/>
        </w:rPr>
        <w:br/>
      </w:r>
      <w:r>
        <w:rPr>
          <w:b w:val="0"/>
          <w:i/>
        </w:rPr>
        <w:br/>
        <w:t xml:space="preserve">      Huế, ngày 25 tháng 11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HUẾ</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127/2025/QĐ-UBND</w:t>
        <w:br/>
        <w:t xml:space="preserve">     </w:t>
      </w:r>
      <w:r>
        <w:rPr>
          <w:b w:val="0"/>
          <w:i w:val="0"/>
        </w:rPr>
        <w:br/>
      </w:r>
      <w:r>
        <w:rPr>
          <w:b w:val="0"/>
          <w:i/>
        </w:rPr>
        <w:br/>
        <w:t xml:space="preserve">      Huế, ngày 25 tháng 11 năm 2025</w:t>
        <w:br/>
        <w:t xml:space="preserve">     </w:t>
      </w:r>
      <w:r>
        <w:rPr>
          <w:b w:val="0"/>
          <w:i w:val="0"/>
        </w:rPr>
        <w:br/>
      </w:r>
    </w:p>
    <w:p>
      <w:pPr>
        <w:jc w:val="center"/>
      </w:pPr>
      <w:r>
        <w:rPr>
          <w:b w:val="0"/>
          <w:i w:val="0"/>
        </w:rPr>
        <w:br/>
        <w:t xml:space="preserve">      Số: 127/2025/QĐ-UBND</w:t>
        <w:br/>
        <w:t xml:space="preserve">     </w:t>
      </w:r>
    </w:p>
    <w:p>
      <w:pPr>
        <w:jc w:val="center"/>
      </w:pPr>
      <w:r>
        <w:rPr>
          <w:b w:val="0"/>
          <w:i w:val="0"/>
        </w:rPr>
        <w:br/>
        <w:t xml:space="preserve">      Huế, ngày 25 tháng 11 năm 2025</w:t>
        <w:br/>
        <w:t xml:space="preserve">     </w:t>
      </w:r>
    </w:p>
    <w:p>
      <w:r>
        <w:rPr>
          <w:b/>
          <w:i w:val="0"/>
        </w:rPr>
        <w:t>QUYẾT ĐỊNH</w:t>
      </w:r>
    </w:p>
    <w:p>
      <w:r>
        <w:rPr>
          <w:b/>
          <w:i w:val="0"/>
        </w:rPr>
        <w:t>Bãi bỏ các văn bản quy phạm pháp luật của Ủy ban nhân dân thành phố Huế</w:t>
      </w:r>
    </w:p>
    <w:p>
      <w:r>
        <w:rPr>
          <w:b w:val="0"/>
          <w:i/>
        </w:rPr>
        <w:t xml:space="preserve">Căn cứ Luật Tổ chức Chính quyền địa phương số 72/2025/QH15; </w:t>
      </w:r>
    </w:p>
    <w:p>
      <w:r>
        <w:rPr>
          <w:b w:val="0"/>
          <w:i/>
        </w:rPr>
        <w:t>Căn cứ Luật Ban hành văn bản quy phạm pháp luật số 64/2025/QH15;</w:t>
      </w:r>
    </w:p>
    <w:p>
      <w:r>
        <w:rPr>
          <w:b w:val="0"/>
          <w:i/>
        </w:rPr>
        <w:t>Căn cứ Luật sửa đổi, bổ sung một số điều của Luật Ban hành văn bản quy phạm pháp luật số 87/2025/QH15;</w:t>
      </w:r>
    </w:p>
    <w:p>
      <w:r>
        <w:rPr>
          <w:b w:val="0"/>
          <w:i/>
        </w:rPr>
        <w:t xml:space="preserve">Căn cứ Luật Đất đai số 31/2024/QH15;  </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w:t>
      </w:r>
    </w:p>
    <w:p>
      <w:r>
        <w:rPr>
          <w:b w:val="0"/>
          <w:i/>
        </w:rPr>
        <w:t xml:space="preserve">Căn cứ Nghị định số 78/2025/NĐ-CP của Chính phủ quy định chi tiết một số điều và biện pháp để tổ chức, hướng dẫn thi hành Luật Ban hành văn bản quy phạm pháp luật; </w:t>
      </w:r>
    </w:p>
    <w:p>
      <w:r>
        <w:rPr>
          <w:b w:val="0"/>
          <w:i/>
        </w:rPr>
        <w:t>Căn cứ Nghị định số 79/2025/NĐ-CP của Chính phủ về kiểm tra, rà soát, hệ thống hóa và xử lý văn bản quy phạm pháp luật;</w:t>
      </w:r>
    </w:p>
    <w:p>
      <w:r>
        <w:rPr>
          <w:b w:val="0"/>
          <w:i/>
        </w:rPr>
        <w:t>Căn cứ Nghị định số 151/2025/NĐ-CP của Chính phủ về việc phân định thẩm quyền của chính quyền địa phương 02 cấp, phân quyền, phân cấp trong lĩnh vực đất đai;</w:t>
      </w:r>
    </w:p>
    <w:p>
      <w:r>
        <w:rPr>
          <w:b w:val="0"/>
          <w:i/>
        </w:rPr>
        <w:t>Căn cứ</w:t>
      </w:r>
      <w:r>
        <w:rPr>
          <w:b w:val="0"/>
          <w:i w:val="0"/>
        </w:rPr>
        <w:t xml:space="preserve"> </w:t>
      </w:r>
      <w:r>
        <w:rPr>
          <w:b w:val="0"/>
          <w:i/>
        </w:rPr>
        <w:t>Nghị định số 187/2025/NĐ-CP của Chính phủ sửa đổi, bổ sung một số điều của Nghị định số 78/2025/NĐ-CP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Theo đề nghị của Sở Nông nghiệp và Môi trường;</w:t>
      </w:r>
    </w:p>
    <w:p>
      <w:r>
        <w:rPr>
          <w:b w:val="0"/>
          <w:i/>
        </w:rPr>
        <w:t xml:space="preserve">Ủy ban nhân dân ban hành Quyết định </w:t>
      </w:r>
      <w:r>
        <w:rPr>
          <w:b w:val="0"/>
          <w:i/>
        </w:rPr>
        <w:t>bãi bỏ các văn bản quy phạm pháp luật của Uỷ ban nhân dân tỉnh Thừa Thiên Huế (nay là thành phố Huế).</w:t>
      </w:r>
    </w:p>
    <w:p>
      <w:r>
        <w:rPr>
          <w:b/>
          <w:i w:val="0"/>
        </w:rPr>
        <w:t>Điều 1. Bãi bỏ toàn bộ các quyết định, chỉ thị</w:t>
      </w:r>
    </w:p>
    <w:p>
      <w:r>
        <w:rPr>
          <w:b w:val="0"/>
          <w:i w:val="0"/>
        </w:rPr>
        <w:t>Bãi bỏ toàn bộ các quyết định, chỉ thị sau đây:</w:t>
      </w:r>
    </w:p>
    <w:p>
      <w:r>
        <w:rPr>
          <w:b w:val="0"/>
          <w:i w:val="0"/>
        </w:rPr>
        <w:t>1. Quyết định số 05/2017/QĐ-UBND ngày 09 tháng 02 năm 2017 của Ủy ban nhân dân tỉnh Thừa Thiên Huế về việc quy định khung giá dịch vụ sử dụng cảng cá trên địa bàn tỉnh Thừa Thiên Huế.</w:t>
      </w:r>
    </w:p>
    <w:p>
      <w:r>
        <w:rPr>
          <w:b w:val="0"/>
          <w:i w:val="0"/>
        </w:rPr>
        <w:t>2. Quyết định số 61/2018/QĐ-UBND ngày 01 tháng 11 năm 2018 của Ủy ban nhân dân tỉnh Thừa Thiên Huế về việc Ban hành Quy định về định mức đất và chế độ quản lý việc xây dựng phần mộ, tượng đài, bia tưởng niệm trong nghĩa trang trên địa bàn tỉnh Thừa Thiên Huế.</w:t>
      </w:r>
    </w:p>
    <w:p>
      <w:r>
        <w:rPr>
          <w:b w:val="0"/>
          <w:i w:val="0"/>
        </w:rPr>
        <w:t>3. Quyết định số 47/2022/QĐ-UBND ngày 23 tháng 9 năm 2022 của Ủy ban nhân dân tỉnh Thừa Thiên Huế về việc ban hành 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p>
    <w:p>
      <w:r>
        <w:rPr>
          <w:b w:val="0"/>
          <w:i w:val="0"/>
        </w:rPr>
        <w:t>4. Chỉ thị số 32/2015/CT-UBND ngày 21 tháng 8 năm 2015 của Ủy ban nhân dân tỉnh Thừa Thiên Huế về việc tăng cường công tác quản lý giao đất, cho thuê đất, chuyển mục đích sử dụng đất quản lý, sử dụng đất công cộng trên địa bàn tỉnh.</w:t>
      </w:r>
    </w:p>
    <w:p>
      <w:r>
        <w:rPr>
          <w:b w:val="0"/>
          <w:i w:val="0"/>
        </w:rPr>
        <w:t>5. Chỉ thị số 34/2015/CT-UBND ngày 21 tháng 8 năm 2015 của Ủy ban nhân dân tỉnh Thừa Thiên Huế về tăng cường quản lý sử dụng đất lúa, đất rừng phòng hộ và đất rừng đặc dụng trên địa bàn tỉnh.</w:t>
      </w:r>
    </w:p>
    <w:p>
      <w:r>
        <w:rPr>
          <w:b w:val="0"/>
          <w:i w:val="0"/>
        </w:rPr>
        <w:t>6. Chỉ thị số 65/2015/CT-UBND ngày 04 tháng 12 năm 2015 của Ủy ban nhân dân tỉnh Thừa Thiên Huế về việc tăng cường thực hiện các biện pháp quản lý rừng và đất lâm nghiệp trên địa bàn tỉnh.</w:t>
      </w:r>
    </w:p>
    <w:p>
      <w:r>
        <w:rPr>
          <w:b/>
          <w:i w:val="0"/>
        </w:rPr>
        <w:t>Điều 2. Điều khoản thi hành</w:t>
      </w:r>
    </w:p>
    <w:p>
      <w:r>
        <w:rPr>
          <w:b w:val="0"/>
          <w:i w:val="0"/>
        </w:rPr>
        <w:t>1. Quyết định này có hiệu lực từ ngày 05 tháng 12 năm 2025.</w:t>
      </w:r>
    </w:p>
    <w:p>
      <w:r>
        <w:rPr>
          <w:b w:val="0"/>
          <w:i w:val="0"/>
        </w:rPr>
        <w:t>2. Chánh Văn phòng Ủy ban nhân dân thành phố; Giám đốc Sở Nông nghiệp và Môi trường; Thủ trưởng các cơ quan chuyên môn, đơn vị sự nghiệp thuộc Ủy ban nhân dân thành phố; Chủ tịch Ủy ban nhân dân các xã, phường; Thủ trưởng các cơ quan, đơn vị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 </w:t>
        <w:br/>
        <w:t xml:space="preserve">     </w:t>
      </w:r>
      <w:r>
        <w:rPr>
          <w:b/>
          <w:i w:val="0"/>
        </w:rPr>
        <w:br/>
      </w:r>
      <w:r>
        <w:rPr>
          <w:b/>
          <w:i/>
        </w:rPr>
        <w:br/>
        <w:t xml:space="preserve">      (Đã ký)</w:t>
        <w:br/>
        <w:t xml:space="preserve">     </w:t>
      </w:r>
      <w:r>
        <w:rPr>
          <w:b/>
          <w:i w:val="0"/>
        </w:rPr>
        <w:br/>
      </w:r>
      <w:r>
        <w:rPr>
          <w:b/>
          <w:i w:val="0"/>
        </w:rPr>
        <w:br/>
        <w:t xml:space="preserve">      Nguyễn Khắc Toàn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 </w:t>
        <w:br/>
        <w:t xml:space="preserve">     </w:t>
      </w:r>
      <w:r>
        <w:rPr>
          <w:b/>
          <w:i w:val="0"/>
        </w:rPr>
        <w:br/>
      </w:r>
      <w:r>
        <w:rPr>
          <w:b/>
          <w:i/>
        </w:rPr>
        <w:br/>
        <w:t xml:space="preserve">      (Đã ký)</w:t>
        <w:br/>
        <w:t xml:space="preserve">     </w:t>
      </w:r>
      <w:r>
        <w:rPr>
          <w:b/>
          <w:i w:val="0"/>
        </w:rPr>
        <w:br/>
      </w:r>
      <w:r>
        <w:rPr>
          <w:b/>
          <w:i w:val="0"/>
        </w:rPr>
        <w:br/>
        <w:t xml:space="preserve">      Nguyễn Khắc Toàn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 </w:t>
        <w:br/>
        <w:t xml:space="preserve">     </w:t>
      </w:r>
      <w:r>
        <w:rPr>
          <w:b w:val="0"/>
          <w:i w:val="0"/>
        </w:rPr>
        <w:br/>
      </w:r>
      <w:r>
        <w:rPr>
          <w:b/>
          <w:i/>
        </w:rPr>
        <w:br/>
        <w:t xml:space="preserve">      (Đã ký)</w:t>
        <w:br/>
        <w:t xml:space="preserve">     </w:t>
      </w:r>
      <w:r>
        <w:rPr>
          <w:b w:val="0"/>
          <w:i w:val="0"/>
        </w:rPr>
        <w:br/>
      </w:r>
      <w:r>
        <w:rPr>
          <w:b/>
          <w:i w:val="0"/>
        </w:rPr>
        <w:br/>
        <w:t xml:space="preserve">      Nguyễn Khắc Toàn</w:t>
        <w:br/>
        <w:t xml:space="preserve">     </w:t>
      </w:r>
      <w:r>
        <w:rPr>
          <w:b w:val="0"/>
          <w:i w:val="0"/>
        </w:rPr>
        <w:br/>
      </w:r>
    </w:p>
    <w:p>
      <w:r>
        <w:rPr>
          <w:b w:val="0"/>
          <w:i w:val="0"/>
        </w:rPr>
        <w:br/>
        <w:t xml:space="preserve">      TM. ỦY BAN NHÂN DÂN </w:t>
        <w:br/>
        <w:t xml:space="preserve">      </w:t>
      </w:r>
      <w:r>
        <w:br/>
      </w:r>
      <w:r>
        <w:rPr>
          <w:b w:val="0"/>
          <w:i w:val="0"/>
        </w:rPr>
        <w:br/>
        <w:t xml:space="preserve">       CHỦ TỊCH </w:t>
        <w:br/>
        <w:t xml:space="preserve">     </w:t>
      </w:r>
    </w:p>
    <w:p>
      <w:r>
        <w:rPr>
          <w:b w:val="0"/>
          <w:i w:val="0"/>
        </w:rPr>
        <w:br/>
        <w:t xml:space="preserve">      (Đã ký)</w:t>
        <w:br/>
        <w:t xml:space="preserve">     </w:t>
      </w:r>
    </w:p>
    <w:p>
      <w:r>
        <w:rPr>
          <w:b w:val="0"/>
          <w:i w:val="0"/>
        </w:rPr>
        <w:br/>
        <w:t xml:space="preserve">      Nguyễn Khắc Toàn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