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12/2012/QĐ-UBND Điều chỉnh, bổ sung một số nội dung của Phương án đầu tư, giải ngân và thu hồi vốn dự án Năng lượng nông thôn II được ban hành kèm theo Quyết định số 981/2006/QĐ-UBND ngày 27/6/2006 của UBND tỉnh</w:t>
      </w:r>
    </w:p>
    <w:p>
      <w:r>
        <w:rPr>
          <w:b/>
          <w:i w:val="0"/>
        </w:rPr>
        <w:t>ỦY BAN NHÂN DÂN                 CỘNG HÒA XÃ HỘI CHỦ NGHĨA VIỆT NAM</w:t>
      </w:r>
    </w:p>
    <w:p>
      <w:r>
        <w:rPr>
          <w:b/>
          <w:i w:val="0"/>
        </w:rPr>
        <w:t xml:space="preserve">      TỈNH PHÚ YÊN                                     Độc lập - Tự do - Hạnh phúc</w:t>
      </w:r>
    </w:p>
    <w:p>
      <w:r>
        <w:rPr>
          <w:b w:val="0"/>
          <w:i w:val="0"/>
        </w:rPr>
        <w:t xml:space="preserve">Số: 12/2012/QĐ-UBND                          </w:t>
      </w:r>
      <w:r>
        <w:rPr>
          <w:b w:val="0"/>
          <w:i/>
        </w:rPr>
        <w:t xml:space="preserve">Tuy Hòa, ngày 12 tháng 6 năm 2012 </w:t>
      </w:r>
    </w:p>
    <w:p>
      <w:r>
        <w:rPr>
          <w:b/>
          <w:i w:val="0"/>
        </w:rPr>
        <w:t>QUYẾT ĐỊNH</w:t>
      </w:r>
    </w:p>
    <w:p>
      <w:r>
        <w:rPr>
          <w:b w:val="0"/>
          <w:i w:val="0"/>
        </w:rPr>
        <w:t>Về việc điều chỉnh, bổ sung một số nội dung của Phương án đầu tư, giải ngân và thu hồi vốn dự án Năng lượng nông thôn II được ban hành kèm theo Quyết định số 981/2006/QĐ-UBND ngày 27/6/2006 của UBND tỉnh</w:t>
      </w:r>
    </w:p>
    <w:p>
      <w:r>
        <w:rPr>
          <w:b w:val="0"/>
          <w:i w:val="0"/>
        </w:rPr>
        <w:t>___________</w:t>
      </w:r>
    </w:p>
    <w:p>
      <w:r>
        <w:rPr>
          <w:b/>
          <w:i w:val="0"/>
        </w:rPr>
        <w:t>ỦY BAN NHÂN DÂN TỈNH PHÚ YÊN</w:t>
      </w:r>
    </w:p>
    <w:p>
      <w:r>
        <w:rPr>
          <w:b w:val="0"/>
          <w:i w:val="0"/>
        </w:rPr>
        <w:t>Căn cứ Luật Tổ chức Hội đồng nhân dân và Ủy ban nhân dân ngày 26 tháng 11 năm 2003;</w:t>
      </w:r>
    </w:p>
    <w:p>
      <w:r>
        <w:rPr>
          <w:b w:val="0"/>
          <w:i w:val="0"/>
        </w:rPr>
        <w:t xml:space="preserve">Căn cứ Quyết định số </w:t>
      </w:r>
      <w:r>
        <w:rPr>
          <w:b w:val="0"/>
          <w:i w:val="0"/>
        </w:rPr>
        <w:t>21/2009/QĐ-TTg</w:t>
      </w:r>
      <w:r>
        <w:rPr>
          <w:b w:val="0"/>
          <w:i w:val="0"/>
        </w:rPr>
        <w:t xml:space="preserve"> ngày 12 tháng 02 năm 2009 của Thủ tướng Chính phủ về việc bán giá điện năm 2009 và các năm 2010-2012 theo cơ chế thị trường;</w:t>
      </w:r>
    </w:p>
    <w:p>
      <w:r>
        <w:rPr>
          <w:b w:val="0"/>
          <w:i w:val="0"/>
        </w:rPr>
        <w:t xml:space="preserve">Căn cứ Thông tư liên tịch số </w:t>
      </w:r>
      <w:r>
        <w:rPr>
          <w:b w:val="0"/>
          <w:i w:val="0"/>
        </w:rPr>
        <w:t>06/2010/TTLT-BCT-BTC</w:t>
      </w:r>
      <w:r>
        <w:rPr>
          <w:b w:val="0"/>
          <w:i w:val="0"/>
        </w:rPr>
        <w:t xml:space="preserve"> ngày 03 tháng 02 năm 2010 của liên Bộ Công Thương - Tài chính về việc hướng dẫn giao, nhận và hoàn trả vốn đầu tư lưới điện hạ áp nông thôn;</w:t>
      </w:r>
    </w:p>
    <w:p>
      <w:r>
        <w:rPr>
          <w:b w:val="0"/>
          <w:i w:val="0"/>
        </w:rPr>
        <w:t>Xét đề nghị của Giám đốc Sở Công Thương tại Tờ trình số 45/TTr-SCT ngày 30 tháng 5 năm 2012 và Báo cáo thẩm định của Sở Tư pháp số 473/BC-STP ngày 25 tháng 5 năm 2012,</w:t>
      </w:r>
    </w:p>
    <w:p>
      <w:pPr>
        <w:jc w:val="center"/>
      </w:pPr>
      <w:r>
        <w:rPr>
          <w:b/>
          <w:i w:val="0"/>
        </w:rPr>
        <w:t>QUYẾT ĐỊNH:</w:t>
      </w:r>
    </w:p>
    <w:p>
      <w:r>
        <w:rPr>
          <w:b/>
          <w:i w:val="0"/>
        </w:rPr>
        <w:t xml:space="preserve">Điều 1. </w:t>
      </w:r>
      <w:r>
        <w:rPr>
          <w:b w:val="0"/>
          <w:i w:val="0"/>
        </w:rPr>
        <w:t>Bổ sung tại điểm b khoản 5 mục II và khoản 6 mục V Phần B của Phương án đầu tư, giải ngân và thu hồi vốn dự án Năng lượng nông thôn II được ban hành kèm theo Quyết định số 981/2006/QĐ-UBND ngày 27/6/2006 của UBND tỉnh như sau:</w:t>
      </w:r>
    </w:p>
    <w:p>
      <w:r>
        <w:rPr>
          <w:b w:val="0"/>
          <w:i w:val="0"/>
        </w:rPr>
        <w:t>1. Bổ sung tại điểm b khoản 5 mục II phần B:</w:t>
      </w:r>
      <w:r>
        <w:br/>
      </w:r>
      <w:r>
        <w:rPr>
          <w:b w:val="0"/>
          <w:i w:val="0"/>
        </w:rPr>
        <w:br/>
        <w:t xml:space="preserve">    "Đối với các xã đồng ý bàn giao lưới điện hạ áp nông thôn cho Công ty Điện lực Phú Yên tiếp nhận thì Chủ đầu tư bàn giao công trình hoàn thành cho Công ty Điện lực Phú Yên tiếp nhận quản lý vận hành."</w:t>
      </w:r>
    </w:p>
    <w:p>
      <w:r>
        <w:rPr>
          <w:b w:val="0"/>
          <w:i w:val="0"/>
        </w:rPr>
        <w:t>2. Bổ sung tại khoản 6 mục V phần B:</w:t>
      </w:r>
      <w:r>
        <w:br/>
      </w:r>
      <w:r>
        <w:rPr>
          <w:b w:val="0"/>
          <w:i w:val="0"/>
        </w:rPr>
        <w:br/>
        <w:t xml:space="preserve">    "Đối với các xã đồng ý bàn giao lưới điện hạ áp nông thôn cho Công ty Điện lực Phú Yên tiếp nhận thì việc ký khế ước nhận nợ, trả nợ do Công ty Điện lực Phú Yên thực hiện."</w:t>
      </w:r>
    </w:p>
    <w:p>
      <w:r>
        <w:rPr>
          <w:b/>
          <w:i w:val="0"/>
        </w:rPr>
        <w:t xml:space="preserve">Điều 2. </w:t>
      </w:r>
      <w:r>
        <w:rPr>
          <w:b w:val="0"/>
          <w:i w:val="0"/>
        </w:rPr>
        <w:t>Các nội dung khác vẫn giữ nguyên như Phương án được duyệt tại Quyết định số 981/2006/QĐ-UBND ngày 27/6/2006 của UBND tỉnh Phú Yên.</w:t>
      </w:r>
    </w:p>
    <w:p>
      <w:r>
        <w:rPr>
          <w:b/>
          <w:i w:val="0"/>
        </w:rPr>
        <w:t xml:space="preserve">Điều 3. </w:t>
      </w:r>
      <w:r>
        <w:rPr>
          <w:b w:val="0"/>
          <w:i w:val="0"/>
        </w:rPr>
        <w:t>Chánh Văn phòng UBND tỉnh; Giám đốc các Sở: Kế hoạch và Đầu tư, Tài chính, Công Thương; Giám đốc Kho bạc Nhà nước tỉnh; Chủ tịch UBND các huyện liên quan; Giám đốc Công ty Điện lực Phú Yên; Trưởng Ban quản lý dự án Năng lượng nông thôn II và Thủ trưởng các cơ quan liên quan chịu trách nhiệm thi hành.</w:t>
      </w:r>
    </w:p>
    <w:p>
      <w:r>
        <w:rPr>
          <w:b w:val="0"/>
          <w:i w:val="0"/>
        </w:rPr>
        <w:t>Quyết định có hiệu lực sau 10 ngày kể từ ngày ký.</w:t>
      </w:r>
    </w:p>
    <w:p>
      <w:pPr>
        <w:jc w:val="center"/>
      </w:pPr>
      <w:r>
        <w:rPr>
          <w:b/>
          <w:i w:val="0"/>
        </w:rPr>
        <w:t xml:space="preserve">                                                                                    TM. ỦY BAN NHÂN DÂN</w:t>
      </w:r>
    </w:p>
    <w:p>
      <w:pPr>
        <w:jc w:val="center"/>
      </w:pPr>
      <w:r>
        <w:rPr>
          <w:b/>
          <w:i w:val="0"/>
        </w:rPr>
        <w:t xml:space="preserve">                                                                                 CHỦ TỊCH </w:t>
      </w:r>
    </w:p>
    <w:p>
      <w:pPr>
        <w:jc w:val="center"/>
      </w:pPr>
      <w:r>
        <w:rPr>
          <w:b/>
          <w:i w:val="0"/>
        </w:rPr>
        <w:t xml:space="preserve">                                                                                 Phạm Đình Cự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