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12/2018/TT-BTTTT Quy định mức giá cước tối đa dịch vụ bưu chính phổ cập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Quy định mức giá cước tối đa dịch vụ bưu chính phổ cập </w:t>
      </w:r>
    </w:p>
    <w:p>
      <w:pPr>
        <w:jc w:val="both"/>
      </w:pPr>
      <w:r>
        <w:rPr>
          <w:b w:val="0"/>
          <w:i/>
        </w:rPr>
        <w:t xml:space="preserve">Căn cứ </w:t>
      </w:r>
      <w:r>
        <w:rPr>
          <w:b w:val="0"/>
          <w:i/>
        </w:rPr>
        <w:t>Luật Bưu chính</w:t>
      </w:r>
      <w:r>
        <w:rPr>
          <w:b w:val="0"/>
          <w:i/>
        </w:rPr>
        <w:t xml:space="preserve"> ngày 17 tháng 6 năm 2010;</w:t>
      </w:r>
    </w:p>
    <w:p>
      <w:pPr>
        <w:jc w:val="both"/>
      </w:pPr>
      <w:r>
        <w:rPr>
          <w:b w:val="0"/>
          <w:i/>
        </w:rPr>
        <w:t xml:space="preserve">Căn cứ </w:t>
      </w:r>
      <w:r>
        <w:rPr>
          <w:b w:val="0"/>
          <w:i/>
        </w:rPr>
        <w:t>Luật Giá</w:t>
      </w:r>
      <w:r>
        <w:rPr>
          <w:b w:val="0"/>
          <w:i/>
        </w:rPr>
        <w:t xml:space="preserve"> ngày 20 tháng 6 năm 2012;</w:t>
      </w:r>
    </w:p>
    <w:p>
      <w:pPr>
        <w:jc w:val="both"/>
      </w:pPr>
      <w:r>
        <w:rPr>
          <w:b w:val="0"/>
          <w:i/>
        </w:rPr>
        <w:t xml:space="preserve">Căn cứ Nghị định số </w:t>
      </w:r>
      <w:r>
        <w:rPr>
          <w:b w:val="0"/>
          <w:i/>
        </w:rPr>
        <w:t>177/2013/NĐ-CP</w:t>
      </w:r>
      <w:r>
        <w:rPr>
          <w:b w:val="0"/>
          <w:i/>
        </w:rPr>
        <w:t xml:space="preserve"> ngày 14 tháng 11 năm 2013 của Chính phủ quy định chi tiết và hướng dẫn thi hành một số điều của </w:t>
      </w:r>
      <w:r>
        <w:rPr>
          <w:b w:val="0"/>
          <w:i/>
        </w:rPr>
        <w:t>Luật Giá</w:t>
      </w:r>
      <w:r>
        <w:rPr>
          <w:b w:val="0"/>
          <w:i/>
        </w:rPr>
        <w:t xml:space="preserve">; Nghị định số </w:t>
      </w:r>
      <w:r>
        <w:rPr>
          <w:b w:val="0"/>
          <w:i/>
        </w:rPr>
        <w:t>149/2016/NĐ-CP</w:t>
      </w:r>
      <w:r>
        <w:rPr>
          <w:b w:val="0"/>
          <w:i/>
        </w:rPr>
        <w:t xml:space="preserve"> ngày 11 tháng 11 năm 2016 của Chính phủ sửa đổi, bổ sung một số điều của Nghị định số </w:t>
      </w:r>
      <w:r>
        <w:rPr>
          <w:b w:val="0"/>
          <w:i/>
        </w:rPr>
        <w:t>177/2013/NĐ-CP</w:t>
      </w:r>
      <w:r>
        <w:rPr>
          <w:b w:val="0"/>
          <w:i/>
        </w:rPr>
        <w:t>;</w:t>
      </w:r>
    </w:p>
    <w:p>
      <w:pPr>
        <w:jc w:val="both"/>
      </w:pPr>
      <w:r>
        <w:rPr>
          <w:b w:val="0"/>
          <w:i/>
        </w:rPr>
        <w:t xml:space="preserve">Căn cứ Nghị định số </w:t>
      </w:r>
      <w:r>
        <w:rPr>
          <w:b w:val="0"/>
          <w:i/>
        </w:rPr>
        <w:t>17/2017/NĐ-CP</w:t>
      </w:r>
      <w:r>
        <w:rPr>
          <w:b w:val="0"/>
          <w:i/>
        </w:rPr>
        <w:t xml:space="preserve"> ngày 17 tháng 02 năm 2017 của Chính phủ quy định chức năng, nhiệm vụ, quyền hạn và cơ cấu tổ chức của Bộ Thông tin và Truyền thông;</w:t>
      </w:r>
    </w:p>
    <w:p>
      <w:pPr>
        <w:jc w:val="both"/>
      </w:pPr>
      <w:r>
        <w:rPr>
          <w:b w:val="0"/>
          <w:i/>
        </w:rPr>
        <w:t xml:space="preserve">Căn cứ Quyết định số </w:t>
      </w:r>
      <w:r>
        <w:rPr>
          <w:b w:val="0"/>
          <w:i/>
        </w:rPr>
        <w:t>45/2015/QĐ-TTg</w:t>
      </w:r>
      <w:r>
        <w:rPr>
          <w:b w:val="0"/>
          <w:i/>
        </w:rPr>
        <w:t xml:space="preserve"> ngày 24 tháng 9 năm 2015 của Thủ tướng Chính phủ về cung ứng dịch vụ bưu chính công ích và dịch vụ công ích trong hoạt động phát hành báo chí;</w:t>
      </w:r>
    </w:p>
    <w:p>
      <w:pPr>
        <w:jc w:val="both"/>
      </w:pPr>
      <w:r>
        <w:rPr>
          <w:b w:val="0"/>
          <w:i/>
        </w:rPr>
        <w:t>Theo đề nghị của Vụ trưởng Vụ Bưu chính,</w:t>
      </w:r>
    </w:p>
    <w:p>
      <w:pPr>
        <w:jc w:val="both"/>
      </w:pPr>
      <w:r>
        <w:rPr>
          <w:b w:val="0"/>
          <w:i/>
        </w:rPr>
        <w:t>Bộ trưởng Bộ Thông tin và Truyền thông ban hành Thông tư quy định mức giá cước tối đa dịch vụ bưu chính phổ cập.</w:t>
      </w:r>
    </w:p>
    <w:p>
      <w:pPr>
        <w:jc w:val="both"/>
      </w:pPr>
      <w:r>
        <w:rPr>
          <w:b/>
          <w:i w:val="0"/>
        </w:rPr>
        <w:t>Điều 1. Phạm vi điều chỉnh</w:t>
      </w:r>
    </w:p>
    <w:p>
      <w:pPr>
        <w:jc w:val="both"/>
      </w:pPr>
      <w:r>
        <w:rPr>
          <w:b w:val="0"/>
          <w:i w:val="0"/>
        </w:rPr>
        <w:t>1. Thông tư này quy định mức giá cước tối đa dịch vụ bưu chính phổ cập, gồm:</w:t>
      </w:r>
    </w:p>
    <w:p>
      <w:pPr>
        <w:jc w:val="both"/>
      </w:pPr>
      <w:r>
        <w:rPr>
          <w:b w:val="0"/>
          <w:i w:val="0"/>
        </w:rPr>
        <w:t>a) Mức giá cước tối đa dịch vụ thư cơ bản (gồm cả bưu thiếp) trong nước;</w:t>
      </w:r>
    </w:p>
    <w:p>
      <w:pPr>
        <w:jc w:val="both"/>
      </w:pPr>
      <w:r>
        <w:rPr>
          <w:b w:val="0"/>
          <w:i w:val="0"/>
        </w:rPr>
        <w:t>b) Mức giá cước tối đa dịch vụ thư cơ bản (gồm cả bưu thiếp) từ Việt Nam đi các nước.</w:t>
      </w:r>
    </w:p>
    <w:p>
      <w:pPr>
        <w:jc w:val="both"/>
      </w:pPr>
      <w:r>
        <w:rPr>
          <w:b w:val="0"/>
          <w:i w:val="0"/>
        </w:rPr>
        <w:t>2. Mức giá cước tối đa dịch vụ bưu chính phổ cập quy định tại khoản 1 Điều này được điều chỉnh khi các yếu tố hình thành giá thay đổi và phù hợp với chủ trương, chính sách phát triển kinh tế - xã hội.</w:t>
      </w:r>
    </w:p>
    <w:p>
      <w:pPr>
        <w:jc w:val="both"/>
      </w:pPr>
      <w:r>
        <w:rPr>
          <w:b/>
          <w:i w:val="0"/>
        </w:rPr>
        <w:t>Điều 2. Đối tượng áp dụng</w:t>
      </w:r>
    </w:p>
    <w:p>
      <w:pPr>
        <w:jc w:val="both"/>
      </w:pPr>
      <w:r>
        <w:rPr>
          <w:b w:val="0"/>
          <w:i w:val="0"/>
        </w:rPr>
        <w:t>1. Tổ chức, cá nhân sử dụng dịch vụ bưu chính phổ cập.</w:t>
      </w:r>
    </w:p>
    <w:p>
      <w:pPr>
        <w:jc w:val="both"/>
      </w:pPr>
      <w:r>
        <w:rPr>
          <w:b w:val="0"/>
          <w:i w:val="0"/>
        </w:rPr>
        <w:t>2. Tổng công ty Bưu điện Việt Nam.</w:t>
      </w:r>
    </w:p>
    <w:p>
      <w:pPr>
        <w:jc w:val="both"/>
      </w:pPr>
      <w:r>
        <w:rPr>
          <w:b/>
          <w:i w:val="0"/>
        </w:rPr>
        <w:t>Điều 3. Mức giá cước tối đa dịch vụ thư cơ bản trong nước</w:t>
      </w:r>
    </w:p>
    <w:p>
      <w:pPr>
        <w:jc w:val="both"/>
      </w:pPr>
      <w:r>
        <w:rPr>
          <w:b w:val="0"/>
          <w:i w:val="0"/>
        </w:rPr>
        <w:t>Mức giá cước tối đa dịch vụ thư cơ bản trong nước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Nấc khối lượng</w:t>
            </w:r>
          </w:p>
        </w:tc>
        <w:tc>
          <w:tcPr>
            <w:tcW w:type="dxa" w:w="2880"/>
          </w:tcPr>
          <w:p>
            <w:r>
              <w:rPr>
                <w:b w:val="0"/>
                <w:i w:val="0"/>
              </w:rPr>
              <w:br/>
            </w:r>
            <w:r>
              <w:rPr>
                <w:b/>
                <w:i w:val="0"/>
              </w:rPr>
              <w:t>Mức giá cước tối đa (đồng)</w:t>
            </w:r>
          </w:p>
        </w:tc>
      </w:tr>
    </w:tbl>
    <w:p>
      <w:r>
        <w:rPr>
          <w:b/>
          <w:i w:val="0"/>
        </w:rPr>
        <w:t>Điều 4. Mức giá cước tối đa dịch vụ thư cơ bản từ Việt Nam đi các nước</w:t>
      </w:r>
    </w:p>
    <w:p>
      <w:pPr>
        <w:jc w:val="both"/>
      </w:pPr>
      <w:r>
        <w:rPr>
          <w:b w:val="0"/>
          <w:i w:val="0"/>
        </w:rPr>
        <w:t>Mức giá cước tối đa dịch vụ thư cơ bản từ Việt Nam đi các nước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Nấc khối lượng</w:t>
            </w:r>
          </w:p>
        </w:tc>
        <w:tc>
          <w:tcPr>
            <w:tcW w:type="dxa" w:w="2880"/>
          </w:tcPr>
          <w:p>
            <w:r>
              <w:rPr>
                <w:b w:val="0"/>
                <w:i w:val="0"/>
              </w:rPr>
              <w:br/>
            </w:r>
            <w:r>
              <w:rPr>
                <w:b/>
                <w:i w:val="0"/>
              </w:rPr>
              <w:t>Mức giá cước tối đa (đồng)</w:t>
            </w:r>
          </w:p>
        </w:tc>
      </w:tr>
    </w:tbl>
    <w:p>
      <w:pPr>
        <w:jc w:val="both"/>
      </w:pPr>
      <w:r>
        <w:rPr>
          <w:b w:val="0"/>
          <w:i w:val="0"/>
        </w:rPr>
        <w:t>Danh sách các quốc gia và vùng lãnh thổ phân theo vùng được quy định tại Phụ lục ban hành kèm theo Thông tư này.</w:t>
      </w:r>
    </w:p>
    <w:p>
      <w:pPr>
        <w:jc w:val="both"/>
      </w:pPr>
      <w:r>
        <w:rPr>
          <w:b/>
          <w:i w:val="0"/>
        </w:rPr>
        <w:t>Điều 5. Tổ chức thực hiện</w:t>
      </w:r>
    </w:p>
    <w:p>
      <w:pPr>
        <w:jc w:val="both"/>
      </w:pPr>
      <w:r>
        <w:rPr>
          <w:b w:val="0"/>
          <w:i w:val="0"/>
        </w:rPr>
        <w:t>1. Vụ Bưu chính (Bộ Thông tin và Truyền thông) có trách nhiệm kiểm tra, giám sát việc thực hiện các quy định về giá cước dịch vụ bưu chính phổ cập và hướng dẫn thực hiện Thông tư này.</w:t>
      </w:r>
    </w:p>
    <w:p>
      <w:pPr>
        <w:jc w:val="both"/>
      </w:pPr>
      <w:r>
        <w:rPr>
          <w:b w:val="0"/>
          <w:i w:val="0"/>
        </w:rPr>
        <w:t>2. Sở Thông tin và Truyền thông các tỉnh, thành phố trực thuộc Trung ương có trách nhiệm kiểm tra, giám sát việc thực hiện giá cước dịch vụ bưu chính phổ cập trên địa bàn.</w:t>
      </w:r>
    </w:p>
    <w:p>
      <w:pPr>
        <w:jc w:val="both"/>
      </w:pPr>
      <w:r>
        <w:rPr>
          <w:b w:val="0"/>
          <w:i w:val="0"/>
        </w:rPr>
        <w:t>3. Tổng công ty Bưu điện Việt Nam có trách nhiệm:</w:t>
      </w:r>
    </w:p>
    <w:p>
      <w:pPr>
        <w:jc w:val="both"/>
      </w:pPr>
      <w:r>
        <w:rPr>
          <w:b w:val="0"/>
          <w:i w:val="0"/>
        </w:rPr>
        <w:t>a) Quyết định giá cước dịch vụ bưu chính phổ cập theo thẩm quyền, bảo đảm không cao hơn mức giá cước tối đa quy định tại Điều 3, Điều 4 Thông tư này;</w:t>
      </w:r>
    </w:p>
    <w:p>
      <w:pPr>
        <w:jc w:val="both"/>
      </w:pPr>
      <w:r>
        <w:rPr>
          <w:b w:val="0"/>
          <w:i w:val="0"/>
        </w:rPr>
        <w:t>b) Báo cáo Bộ Thông tin và Truyền thông về giá cước dịch vụ bưu chính phổ cập 30 ngày trước khi triển khai áp dụng;</w:t>
      </w:r>
    </w:p>
    <w:p>
      <w:pPr>
        <w:jc w:val="both"/>
      </w:pPr>
      <w:r>
        <w:rPr>
          <w:b w:val="0"/>
          <w:i w:val="0"/>
        </w:rPr>
        <w:t>c) Niêm yết, công khai giá cước dịch vụ bưu chính phổ cập theo quy định của pháp luật về giá và bưu chính;</w:t>
      </w:r>
    </w:p>
    <w:p>
      <w:pPr>
        <w:jc w:val="both"/>
      </w:pPr>
      <w:r>
        <w:rPr>
          <w:b w:val="0"/>
          <w:i w:val="0"/>
        </w:rPr>
        <w:t>d) Xây dựng phương án giá cước trình Bộ Thông tin và Truyền thông để điều chỉnh mức giá cước tối đa dịch vụ bưu chính phổ cập khi các yếu tố hình thành giá thay đổi và phù hợp chủ trương, chính sách phát triển kinh tế - xã hội.</w:t>
      </w:r>
    </w:p>
    <w:p>
      <w:pPr>
        <w:jc w:val="both"/>
      </w:pPr>
      <w:r>
        <w:rPr>
          <w:b/>
          <w:i w:val="0"/>
        </w:rPr>
        <w:t>Điều 6. Điều khoản thi hành</w:t>
      </w:r>
    </w:p>
    <w:p>
      <w:pPr>
        <w:jc w:val="both"/>
      </w:pPr>
      <w:r>
        <w:rPr>
          <w:b w:val="0"/>
          <w:i w:val="0"/>
        </w:rPr>
        <w:t>1. Thông tư này có hiệu lực thi hành từ ngày 01 tháng 12 năm 2018.</w:t>
      </w:r>
    </w:p>
    <w:p>
      <w:pPr>
        <w:jc w:val="both"/>
      </w:pPr>
      <w:r>
        <w:rPr>
          <w:b w:val="0"/>
          <w:i w:val="0"/>
        </w:rPr>
        <w:t>2. Thông tư số 20/2013/TT-BTTTT ngày 05 tháng 12 năm 2013 của Bộ Thông tin và Truyền thông quy định mức giá cước tối đa đối với dịch vụ bưu chính phổ cập hết hiệu lực kể từ ngày Thông tư này có hiệu lực thi hành.</w:t>
      </w:r>
    </w:p>
    <w:p>
      <w:pPr>
        <w:jc w:val="both"/>
      </w:pPr>
      <w:r>
        <w:rPr>
          <w:b w:val="0"/>
          <w:i w:val="0"/>
        </w:rPr>
        <w:t>3. Chánh Văn phòng, Vụ trưởng Vụ Bưu chính, Thủ trưởng các đơn vị liên quan thuộc Bộ Thông tin và Truyền thông, Tổng giám đốc Tổng công ty Bưu điện Việt Nam và các tổ chức, cá nhân liên quan chịu trách nhiệm thi hành Thông tư này.</w:t>
      </w:r>
    </w:p>
    <w:p>
      <w:pPr>
        <w:jc w:val="both"/>
      </w:pPr>
      <w:r>
        <w:rPr>
          <w:b w:val="0"/>
          <w:i w:val="0"/>
        </w:rPr>
        <w:t>4. Trong quá trình triển khai thực hiện, nếu có vấn đề phát sinh, vướng mắc, tổ chức, cá nhân phản ánh kịp thời về Bộ Thông tin và Truyền thông để xem xét, sửa đổi, bổ sung./.</w:t>
      </w:r>
    </w:p>
    <w:p>
      <w:pPr>
        <w:jc w:val="right"/>
      </w:pPr>
      <w:r>
        <w:rPr>
          <w:b/>
          <w:i w:val="0"/>
        </w:rPr>
        <w:t xml:space="preserve">                                                                                                      Q. BỘ TRƯỞNG</w:t>
      </w:r>
    </w:p>
    <w:p>
      <w:pPr>
        <w:jc w:val="right"/>
      </w:pPr>
      <w:r>
        <w:rPr>
          <w:b/>
          <w:i w:val="0"/>
        </w:rPr>
        <w:t xml:space="preserve">                                                                                                               </w:t>
      </w:r>
      <w:r>
        <w:rPr>
          <w:b/>
          <w:i/>
        </w:rPr>
        <w:t>(Đã ký)</w:t>
      </w:r>
      <w:r>
        <w:br/>
      </w:r>
      <w:r>
        <w:br/>
      </w:r>
      <w:r>
        <w:br/>
      </w:r>
      <w:r>
        <w:rPr>
          <w:b/>
          <w:i w:val="0"/>
        </w:rPr>
        <w:br/>
        <w:t xml:space="preserve">                                                                                                         Nguyễn Mạnh Hùng</w:t>
      </w:r>
    </w:p>
    <w:p>
      <w:pPr>
        <w:jc w:val="center"/>
      </w:pPr>
      <w:r>
        <w:rPr>
          <w:b/>
          <w:i w:val="0"/>
        </w:rPr>
        <w:t>PHỤ LỤC</w:t>
      </w:r>
    </w:p>
    <w:p>
      <w:pPr>
        <w:jc w:val="center"/>
      </w:pPr>
      <w:r>
        <w:rPr>
          <w:b/>
          <w:i w:val="0"/>
        </w:rPr>
        <w:t>Danh sách các quốc gia và vùng lãnh thổ phân theo vùng</w:t>
      </w:r>
    </w:p>
    <w:p>
      <w:pPr>
        <w:jc w:val="center"/>
      </w:pPr>
      <w:r>
        <w:rPr>
          <w:b w:val="0"/>
          <w:i/>
        </w:rPr>
        <w:t>(Ban hành kèm theo Thông tư số 12/2018/TT-BTTTT ngày 15 tháng 10 năm 2018 của Bộ trưởng Bộ Thông tin và Truyền thông)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Vùng 1</w:t>
            </w:r>
          </w:p>
        </w:tc>
        <w:tc>
          <w:tcPr>
            <w:tcW w:type="dxa" w:w="2160"/>
          </w:tcPr>
          <w:p>
            <w:r>
              <w:rPr>
                <w:b/>
                <w:i w:val="0"/>
              </w:rPr>
              <w:t xml:space="preserve">Vùng 2 </w:t>
            </w:r>
          </w:p>
        </w:tc>
        <w:tc>
          <w:tcPr>
            <w:tcW w:type="dxa" w:w="2160"/>
          </w:tcPr>
          <w:p>
            <w:r>
              <w:rPr>
                <w:b/>
                <w:i w:val="0"/>
              </w:rPr>
              <w:t>Vùng 3</w:t>
            </w:r>
          </w:p>
        </w:tc>
        <w:tc>
          <w:tcPr>
            <w:tcW w:type="dxa" w:w="2160"/>
          </w:tcPr>
          <w:p>
            <w:r>
              <w:rPr>
                <w:b/>
                <w:i w:val="0"/>
              </w:rPr>
              <w:t>Vùng 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Vùng 1</w:t>
            </w:r>
          </w:p>
        </w:tc>
        <w:tc>
          <w:tcPr>
            <w:tcW w:type="dxa" w:w="2160"/>
          </w:tcPr>
          <w:p>
            <w:r>
              <w:rPr>
                <w:b/>
                <w:i w:val="0"/>
              </w:rPr>
              <w:t>Vùng 2</w:t>
            </w:r>
          </w:p>
        </w:tc>
        <w:tc>
          <w:tcPr>
            <w:tcW w:type="dxa" w:w="2160"/>
          </w:tcPr>
          <w:p>
            <w:r>
              <w:rPr>
                <w:b/>
                <w:i w:val="0"/>
              </w:rPr>
              <w:t>Vùng 3</w:t>
            </w:r>
          </w:p>
        </w:tc>
        <w:tc>
          <w:tcPr>
            <w:tcW w:type="dxa" w:w="2160"/>
          </w:tcPr>
          <w:p>
            <w:r>
              <w:rPr>
                <w:b w:val="0"/>
                <w:i w:val="0"/>
              </w:rPr>
              <w:br/>
            </w:r>
            <w:r>
              <w:rPr>
                <w:b w:val="0"/>
                <w:i w:val="0"/>
              </w:rPr>
              <w:br/>
            </w:r>
            <w:r>
              <w:rPr>
                <w:b/>
                <w:i w:val="0"/>
              </w:rPr>
              <w:t>Vùng4</w:t>
            </w:r>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Vùng 1</w:t>
            </w:r>
          </w:p>
        </w:tc>
        <w:tc>
          <w:tcPr>
            <w:tcW w:type="dxa" w:w="2160"/>
          </w:tcPr>
          <w:p>
            <w:r>
              <w:rPr>
                <w:b/>
                <w:i w:val="0"/>
              </w:rPr>
              <w:t>Vùng 2</w:t>
            </w:r>
          </w:p>
        </w:tc>
        <w:tc>
          <w:tcPr>
            <w:tcW w:type="dxa" w:w="2160"/>
          </w:tcPr>
          <w:p>
            <w:r>
              <w:rPr>
                <w:b/>
                <w:i w:val="0"/>
              </w:rPr>
              <w:t>Vùng 3</w:t>
            </w:r>
          </w:p>
        </w:tc>
        <w:tc>
          <w:tcPr>
            <w:tcW w:type="dxa" w:w="2160"/>
          </w:tcPr>
          <w:p>
            <w:r>
              <w:rPr>
                <w:b/>
                <w:i w:val="0"/>
              </w:rPr>
              <w:t>Vùng 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i w:val="0"/>
              </w:rPr>
              <w:t>Vùng 1</w:t>
            </w:r>
            <w:r>
              <w:rPr>
                <w:b w:val="0"/>
                <w:i w:val="0"/>
              </w:rPr>
              <w:br/>
            </w:r>
          </w:p>
        </w:tc>
        <w:tc>
          <w:tcPr>
            <w:tcW w:type="dxa" w:w="2160"/>
          </w:tcPr>
          <w:p>
            <w:r>
              <w:rPr>
                <w:b/>
                <w:i w:val="0"/>
              </w:rPr>
              <w:t>Vùng 2</w:t>
            </w:r>
          </w:p>
        </w:tc>
        <w:tc>
          <w:tcPr>
            <w:tcW w:type="dxa" w:w="2160"/>
          </w:tcPr>
          <w:p>
            <w:r>
              <w:rPr>
                <w:b/>
                <w:i w:val="0"/>
              </w:rPr>
              <w:t>Vùng 3</w:t>
            </w:r>
          </w:p>
        </w:tc>
        <w:tc>
          <w:tcPr>
            <w:tcW w:type="dxa" w:w="2160"/>
          </w:tcPr>
          <w:p>
            <w:r>
              <w:rPr>
                <w:b/>
                <w:i w:val="0"/>
              </w:rPr>
              <w:t>Vùng 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Vùng 1</w:t>
            </w:r>
          </w:p>
        </w:tc>
        <w:tc>
          <w:tcPr>
            <w:tcW w:type="dxa" w:w="2160"/>
          </w:tcPr>
          <w:p>
            <w:r>
              <w:rPr>
                <w:b/>
                <w:i w:val="0"/>
              </w:rPr>
              <w:t>Vùng 2</w:t>
            </w:r>
          </w:p>
        </w:tc>
        <w:tc>
          <w:tcPr>
            <w:tcW w:type="dxa" w:w="2160"/>
          </w:tcPr>
          <w:p>
            <w:r>
              <w:rPr>
                <w:b/>
                <w:i w:val="0"/>
              </w:rPr>
              <w:t>Vùng 3</w:t>
            </w:r>
          </w:p>
        </w:tc>
        <w:tc>
          <w:tcPr>
            <w:tcW w:type="dxa" w:w="2160"/>
          </w:tcPr>
          <w:p>
            <w:r>
              <w:rPr>
                <w:b/>
                <w:i w:val="0"/>
              </w:rPr>
              <w:t>Vùng 4</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Vùng 1</w:t>
            </w:r>
          </w:p>
        </w:tc>
        <w:tc>
          <w:tcPr>
            <w:tcW w:type="dxa" w:w="2160"/>
          </w:tcPr>
          <w:p>
            <w:r>
              <w:rPr>
                <w:b/>
                <w:i w:val="0"/>
              </w:rPr>
              <w:t>Vùng 2</w:t>
            </w:r>
          </w:p>
        </w:tc>
        <w:tc>
          <w:tcPr>
            <w:tcW w:type="dxa" w:w="2160"/>
          </w:tcPr>
          <w:p>
            <w:r>
              <w:rPr>
                <w:b/>
                <w:i w:val="0"/>
              </w:rPr>
              <w:t>Vùng 3</w:t>
            </w:r>
          </w:p>
        </w:tc>
        <w:tc>
          <w:tcPr>
            <w:tcW w:type="dxa" w:w="2160"/>
          </w:tcPr>
          <w:p>
            <w:r>
              <w:rPr>
                <w:b/>
                <w:i w:val="0"/>
              </w:rPr>
              <w:t>Vùng 4</w:t>
            </w:r>
          </w:p>
        </w:tc>
      </w:tr>
    </w:tbl>
    <w:p>
      <w:r>
        <w:rPr>
          <w:b w:val="0"/>
          <w:i w:val="0"/>
        </w:rPr>
        <w:t>Ghi chú: Các quốc gia hiện không cung ứng dịch vụ do chiến tranh, gồm: Li-bi (Libya), Xô-ma-li (Somali) và Xi-ri (Syria).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