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 xml:space="preserve">Chỉ thị số 12/CT-UBND Về việc tăng cường quản lý, không đốt rơm rạ để </w:t>
        <w:br/>
        <w:t>bảo vệ môi trường và trật tự an toàn giao thông</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UỶ BAN NHÂN DÂN</w:t>
            </w:r>
            <w:r>
              <w:rPr>
                <w:b w:val="0"/>
                <w:i w:val="0"/>
              </w:rPr>
              <w:br/>
            </w:r>
            <w:r>
              <w:rPr>
                <w:b/>
                <w:i w:val="0"/>
              </w:rPr>
              <w:t>TỈNH HÀ NAM</w:t>
            </w:r>
            <w:r>
              <w:rPr>
                <w:b w:val="0"/>
                <w:i w:val="0"/>
              </w:rPr>
              <w:br/>
            </w:r>
            <w:r>
              <w:rPr>
                <w:b w:val="0"/>
                <w:i w:val="0"/>
              </w:rPr>
              <w:t>__________</w:t>
            </w:r>
          </w:p>
        </w:tc>
        <w:tc>
          <w:tcPr>
            <w:tcW w:type="dxa" w:w="4320"/>
          </w:tcPr>
          <w:p>
            <w:r>
              <w:rPr>
                <w:b w:val="0"/>
                <w:i w:val="0"/>
              </w:rPr>
              <w:br/>
            </w:r>
            <w:r>
              <w:rPr>
                <w:b/>
                <w:i w:val="0"/>
              </w:rPr>
              <w:t>CỘNG HOÀ XÃ HỘI CHỦ NGHĨA VIỆT NAM</w:t>
            </w:r>
            <w:r>
              <w:rPr>
                <w:b w:val="0"/>
                <w:i w:val="0"/>
              </w:rPr>
              <w:br/>
            </w:r>
            <w:r>
              <w:rPr>
                <w:b/>
                <w:i w:val="0"/>
              </w:rPr>
              <w:t>Độc lập - tự do - hạnh phúc</w:t>
            </w:r>
            <w:r>
              <w:rPr>
                <w:b w:val="0"/>
                <w:i w:val="0"/>
              </w:rPr>
              <w:br/>
            </w:r>
            <w:r>
              <w:rPr>
                <w:b w:val="0"/>
                <w:i w:val="0"/>
              </w:rPr>
              <w:t>____________________</w:t>
            </w:r>
          </w:p>
        </w:tc>
      </w:tr>
    </w:tbl>
    <w:p>
      <w:r>
        <w:rPr>
          <w:b/>
          <w:i w:val="0"/>
        </w:rPr>
        <w:t>CHỈ THỊ</w:t>
      </w:r>
    </w:p>
    <w:p>
      <w:r>
        <w:rPr>
          <w:b/>
          <w:i w:val="0"/>
        </w:rPr>
        <w:t>Về việc tăng cường quản lý, không đốt rơm rạ để</w:t>
      </w:r>
    </w:p>
    <w:p>
      <w:r>
        <w:rPr>
          <w:b/>
          <w:i w:val="0"/>
        </w:rPr>
        <w:t>bảo vệ môi trường và trật tự an toàn giao thông</w:t>
      </w:r>
    </w:p>
    <w:p>
      <w:r>
        <w:rPr>
          <w:b w:val="0"/>
          <w:i w:val="0"/>
        </w:rPr>
        <w:t>_________________________</w:t>
      </w:r>
    </w:p>
    <w:p>
      <w:r>
        <w:rPr>
          <w:b w:val="0"/>
          <w:i w:val="0"/>
        </w:rPr>
        <w:t>Hiện nay, tình trạng phơi thóc lúa, nông sản, đốt rơm rạ trên lòng, lề đường trên địa bàn tỉnh ảnh hưởng trực tiếp đến sức khoẻ nhân dân và cảnh quan môi trường; mất an toàn giao thông, là nguyên nhân của nhiều vụ tai nạn, làm tăng các ca bệnh nhân nhập viện về đường hô hấp. Việc đốt rơm rạ là hành vi vi phạm pháp luật về bảo vệ môi trường, luật giao thông đường bộ và các quy định về an toàn giao thông.</w:t>
      </w:r>
    </w:p>
    <w:p>
      <w:r>
        <w:rPr>
          <w:b w:val="0"/>
          <w:i w:val="0"/>
        </w:rPr>
        <w:t>Trước tình hình trên, nhằm thực hiện tốt các nhiệm vụ, giải pháp trong “Năm an toàn giao thông 2012”, thiết lập kỷ cương về trật tự an toàn giao thông, bảo vệ môi trường trên địa bàn tỉnh, Chủ tịch UBND tỉnh chỉ thị:</w:t>
      </w:r>
    </w:p>
    <w:p>
      <w:r>
        <w:rPr>
          <w:b w:val="0"/>
          <w:i w:val="0"/>
        </w:rPr>
        <w:t>1. Chủ tịch UBND các huyện, thành phố khẩn trương chỉ đạo ngay Chủ tịch UBND xã, phường, thị trấn triển khai các biện pháp để thực hiện nghiêm túc trên địa bàn: Không đốt rơm rạ ở đồng ruộng, nghiêm cấm phơi thóc, rơm rạ, tuốt lúa, đốt rơm rạ trên đường giao thông. Xử lý kịp thời và kiên quyết các vụ việc vi phạm nêu trên theo quy định của pháp luật. Chỉ đạo kiểm điểm trách nhiệm của Chủ tịch UBND xã, phường, thị trấn nơi để xẩy ra vi phạm.</w:t>
      </w:r>
    </w:p>
    <w:p>
      <w:r>
        <w:rPr>
          <w:b w:val="0"/>
          <w:i w:val="0"/>
        </w:rPr>
        <w:t>2. Giám đốc Công an tỉnh, Giám đốc Sở Giao thông Vận tải, Giám đốc Sở Tài nguyên và Môi trường chỉ đạo các lực lượng chức năng kiểm tra, đôn đốc và phối hợp với các địa phương trong việc chỉ đạo tổ chức thực hiện và xử lý vi phạm theo thẩm quyền, tham mưu cho UBND tỉnh phê bình, xếp loại thi đua nếu Chủ tịch UBND xã, phường, thị trấn; Chủ tịch UBND huyện, thành phố còn để xảy ra nhiều vi phạm.</w:t>
      </w:r>
    </w:p>
    <w:p>
      <w:r>
        <w:rPr>
          <w:b w:val="0"/>
          <w:i w:val="0"/>
        </w:rPr>
        <w:t>3. Đài phát thanh Truyền hình tỉnh, Báo Hà Nam tăng cường công tác tuyên truyền trên các phương tiện thông tin đại chúng, Chủ tịch UBND các huyện, thành phố; UBND các xã, phường, thị trấn thường xuyên đưa tin trên hệ thống phát thanh, truyền thanh để nhân dân hiểu, chấp hành, biểu dương những tập thể, cá nhân gương mẫu thực hiện, phê phán những tập thể, cá nhân vi phạm xử lý theo quy định của pháp luật.</w:t>
      </w:r>
    </w:p>
    <w:p>
      <w:r>
        <w:rPr>
          <w:b w:val="0"/>
          <w:i w:val="0"/>
        </w:rPr>
        <w:t>4. Sở Nông nghiệp và Phát triển nông thôn, Sở Khoa học và công nghệ và Công ty XNK mây tre đan Ngọc Động phối hợp với các đơn vị liên quan vận động, triển khai mô hình ứng dụng khoa học kỹ thuật sử dụng rơm rạ sản xuất nấm ăn, phân vi sinh phục vụ sản xuất và đời sống.</w:t>
      </w:r>
    </w:p>
    <w:p>
      <w:r>
        <w:rPr>
          <w:b w:val="0"/>
          <w:i w:val="0"/>
        </w:rPr>
        <w:t>Chủ tịch UBND các huyện, thành phố, Thủ trưởng các Sở, ban, ngành, đoàn thể trong tỉnh tổ chức thực hiện nghiêm Chỉ thị này.</w:t>
      </w:r>
    </w:p>
    <w:p>
      <w:r>
        <w:rPr>
          <w:b w:val="0"/>
          <w:i w:val="0"/>
        </w:rPr>
        <w:t>Ban an toàn giao thông tỉnh, Sở giao thông vận tải có trách nhiệm theo dõi, đôn đốc các đơn vị, kịp thời báo cáo UBND tỉnh kết quả thực hiện./.</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rPr>
                <w:b w:val="0"/>
                <w:i w:val="0"/>
              </w:rPr>
              <w:br/>
            </w:r>
            <w:r>
              <w:rPr>
                <w:b w:val="0"/>
                <w:i/>
              </w:rPr>
              <w:t>-</w:t>
            </w:r>
            <w:r>
              <w:rPr>
                <w:b w:val="0"/>
                <w:i w:val="0"/>
              </w:rPr>
              <w:t xml:space="preserve"> Uỷ ban ATGTQG; (để b/c)</w:t>
            </w:r>
            <w:r>
              <w:rPr>
                <w:b w:val="0"/>
                <w:i w:val="0"/>
              </w:rPr>
              <w:br/>
            </w:r>
            <w:r>
              <w:rPr>
                <w:b w:val="0"/>
                <w:i w:val="0"/>
              </w:rPr>
              <w:t>- Thường trực tỉnh uỷ; (để b/c)</w:t>
            </w:r>
            <w:r>
              <w:rPr>
                <w:b w:val="0"/>
                <w:i w:val="0"/>
              </w:rPr>
              <w:br/>
            </w:r>
            <w:r>
              <w:rPr>
                <w:b w:val="0"/>
                <w:i w:val="0"/>
              </w:rPr>
              <w:t>- Chủ tịch, phó CT UBND tỉnh;</w:t>
            </w:r>
            <w:r>
              <w:rPr>
                <w:b w:val="0"/>
                <w:i w:val="0"/>
              </w:rPr>
              <w:br/>
            </w:r>
            <w:r>
              <w:rPr>
                <w:b w:val="0"/>
                <w:i w:val="0"/>
              </w:rPr>
              <w:t>- Các Sở, Ban ngành, đoàn thể;</w:t>
            </w:r>
            <w:r>
              <w:rPr>
                <w:b w:val="0"/>
                <w:i w:val="0"/>
              </w:rPr>
              <w:br/>
            </w:r>
            <w:r>
              <w:rPr>
                <w:b w:val="0"/>
                <w:i w:val="0"/>
              </w:rPr>
              <w:t>- Công an tỉnh;</w:t>
            </w:r>
            <w:r>
              <w:rPr>
                <w:b w:val="0"/>
                <w:i w:val="0"/>
              </w:rPr>
              <w:br/>
            </w:r>
            <w:r>
              <w:rPr>
                <w:b w:val="0"/>
                <w:i w:val="0"/>
              </w:rPr>
              <w:t>- UBND các huyện, thành phố;</w:t>
            </w:r>
            <w:r>
              <w:rPr>
                <w:b w:val="0"/>
                <w:i w:val="0"/>
              </w:rPr>
              <w:br/>
            </w:r>
            <w:r>
              <w:rPr>
                <w:b w:val="0"/>
                <w:i w:val="0"/>
              </w:rPr>
              <w:t>- Đài PTTH tỉnh, Báo Hà Nam (để đưa tin);</w:t>
            </w:r>
            <w:r>
              <w:rPr>
                <w:b w:val="0"/>
                <w:i w:val="0"/>
              </w:rPr>
              <w:br/>
            </w:r>
            <w:r>
              <w:rPr>
                <w:b w:val="0"/>
                <w:i w:val="0"/>
              </w:rPr>
              <w:t>- LĐVP, NC;</w:t>
            </w:r>
            <w:r>
              <w:rPr>
                <w:b w:val="0"/>
                <w:i w:val="0"/>
              </w:rPr>
              <w:br/>
            </w:r>
            <w:r>
              <w:rPr>
                <w:b w:val="0"/>
                <w:i w:val="0"/>
              </w:rPr>
              <w:t>- Lưu VT, GT.</w:t>
            </w:r>
            <w:r>
              <w:rPr>
                <w:b w:val="0"/>
                <w:i w:val="0"/>
              </w:rPr>
              <w:br/>
            </w:r>
            <w:r>
              <w:rPr>
                <w:b w:val="0"/>
                <w:i w:val="0"/>
              </w:rPr>
              <w:t>B/2012/CV73</w:t>
            </w:r>
          </w:p>
        </w:tc>
        <w:tc>
          <w:tcPr>
            <w:tcW w:type="dxa" w:w="4320"/>
          </w:tcPr>
          <w:p>
            <w:r>
              <w:rPr>
                <w:b w:val="0"/>
                <w:i w:val="0"/>
              </w:rPr>
              <w:br/>
            </w:r>
            <w:r>
              <w:rPr>
                <w:b/>
                <w:i w:val="0"/>
              </w:rPr>
              <w:t>CHỦ TỊCH</w:t>
            </w:r>
            <w:r>
              <w:rPr>
                <w:b w:val="0"/>
                <w:i w:val="0"/>
              </w:rPr>
              <w:br/>
            </w:r>
            <w:r>
              <w:rPr>
                <w:b/>
                <w:i/>
              </w:rPr>
              <w:t>(Đã ký)</w:t>
            </w:r>
            <w:r>
              <w:rPr>
                <w:b w:val="0"/>
                <w:i w:val="0"/>
              </w:rPr>
              <w:br/>
            </w:r>
            <w:r>
              <w:rPr>
                <w:b/>
                <w:i w:val="0"/>
              </w:rPr>
              <w:t>Mai Tiến Dũng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