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12/TC-TCT Hướng dẫn bổ sung thông tư số 69-TC/TCT ngày 5/11/1996 của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pPr>
        <w:jc w:val="center"/>
      </w:pPr>
      <w:r>
        <w:rPr>
          <w:b/>
          <w:i w:val="0"/>
        </w:rPr>
        <w:t>THÔNG TƯ</w:t>
      </w:r>
    </w:p>
    <w:p>
      <w:pPr>
        <w:jc w:val="center"/>
      </w:pPr>
      <w:r>
        <w:rPr>
          <w:b/>
          <w:i w:val="0"/>
        </w:rPr>
        <w:t>Của Bộ trưởng Bộ Tài chính số 12/1997/TC-TCT ngày 26 tháng 3 năm 1997 về việc hướng dẫn bổ sung Thông tư số 69 TC/TCT ngày 5/11/1996 của Bộ Tài chính</w:t>
      </w:r>
    </w:p>
    <w:p>
      <w:pPr>
        <w:jc w:val="both"/>
      </w:pPr>
      <w:r>
        <w:rPr>
          <w:b w:val="0"/>
          <w:i w:val="0"/>
        </w:rPr>
        <w:t>Sau một thời gian thực hiện Thông tư số 69 TC/TCT ngày 5/11/1996 của Bộ Tài chính hướng dẫn , Bộ Tài chính hướng dẫn bổ sung vào cuối điểm 1, Mục I của Thông tư số 69 TC/TCT như sau:</w:t>
      </w:r>
    </w:p>
    <w:p>
      <w:pPr>
        <w:jc w:val="both"/>
      </w:pPr>
      <w:r>
        <w:rPr>
          <w:b w:val="0"/>
          <w:i w:val="0"/>
        </w:rPr>
        <w:t>Đối với các đơn vị hạch toán toàn ngành (Ngân hàng, Bưu điện, Điện lực...), các Tổng công ty, liên hiệp các xí nghiệp có các đơn vị thành viên là các doanh nghiệp Nhà nước, đơn vị thành viên nộp thuế môn bài theo mức 850.000 đồng/năm.</w:t>
      </w:r>
    </w:p>
    <w:p>
      <w:pPr>
        <w:jc w:val="both"/>
      </w:pPr>
      <w:r>
        <w:rPr>
          <w:b w:val="0"/>
          <w:i w:val="0"/>
        </w:rPr>
        <w:t>Quy định này có hiệu lực thi hành từ ngày 1/1/1997.</w:t>
      </w:r>
    </w:p>
    <w:p>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w:t>
      </w:r>
      <w:r>
        <w:rPr>
          <w:b w:val="0"/>
          <w:i w:val="0"/>
        </w:rPr>
        <w:br/>
      </w:r>
      <w:r>
        <w:rPr>
          <w:b/>
          <w:i w:val="0"/>
        </w:rPr>
        <w:t>THỨ TRƯỞNG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Vũ Mộng Giao</w:t>
      </w:r>
      <w:r>
        <w:rPr>
          <w:b w:val="0"/>
          <w:i w:val="0"/>
        </w:rPr>
        <w:t xml:space="preserve"> </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w:t>
      </w:r>
      <w:r>
        <w:rPr>
          <w:b w:val="0"/>
          <w:i w:val="0"/>
        </w:rPr>
        <w:br/>
      </w:r>
      <w:r>
        <w:rPr>
          <w:b/>
          <w:i w:val="0"/>
        </w:rPr>
        <w:t>THỨ TRƯỞNG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Vũ Mộng Giao</w:t>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rPr>
                <w:b w:val="0"/>
                <w:i w:val="0"/>
              </w:rPr>
              <w:br/>
            </w:r>
            <w:r>
              <w:rPr>
                <w:b/>
                <w:i w:val="0"/>
              </w:rPr>
              <w:t>THỨ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