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 /CT-UBND Tiết kiệm quà biếu tết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_____________________</w:t>
            </w:r>
          </w:p>
        </w:tc>
      </w:tr>
    </w:tbl>
    <w:p>
      <w:pPr>
        <w:jc w:val="center"/>
      </w:pPr>
      <w:r>
        <w:rPr>
          <w:b/>
          <w:i w:val="0"/>
        </w:rPr>
        <w:t>CHỈ THỊ</w:t>
      </w:r>
    </w:p>
    <w:p>
      <w:r>
        <w:rPr>
          <w:b w:val="0"/>
          <w:i w:val="0"/>
        </w:rPr>
        <w:t>Từ tháng 12 năm 1981 đến hết quý I năm 1982 nhân dịp đón Tết và tổng kết năm, các ngành và địa phương trong tỉnh theo tập quán thường có tổ chức liên hoan quà biếu,… thực tế các cuộc sinh hoạt ấy có mang lại hiệu quả thiết thực, một số ngành sản xuất kinh doanh hoàn thành được chỉ tiêu kế hoạch, có trích quỹ, để trích quỹ của ngành biếu quà giúp các ngành hành chính sự nghiệp và Uỷ ban nhân dân tỉnh cũng đã cho chi ngân sách vào việc này.</w:t>
      </w:r>
    </w:p>
    <w:p>
      <w:r>
        <w:rPr>
          <w:b w:val="0"/>
          <w:i w:val="0"/>
        </w:rPr>
        <w:t>Sau quý I năm 1982, chúng ta đã triển khai Nghị quyết mới, thực hiện Nghị quyết của Trung ương phát động phong trào tiết kiệm mọi mặt trong xã hội, Uỷ ban nhân dân tỉnh Chỉ thị:</w:t>
      </w:r>
    </w:p>
    <w:p>
      <w:r>
        <w:rPr>
          <w:b w:val="0"/>
          <w:i w:val="0"/>
        </w:rPr>
        <w:t>1. Các ngành, các cấp, các đơn vị sản xuất kinh doanh, xí nghiệp, HTX…trong tỉnh bắt đầu từ ngày 05 tháng 4 năm 1982 trở đi đình chỉ các cuộc liên hoan sau hội nghị, thực hiện nghiêm ngặt chế độ tiết kiệm chi.</w:t>
      </w:r>
    </w:p>
    <w:p>
      <w:r>
        <w:rPr>
          <w:b w:val="0"/>
          <w:i w:val="0"/>
        </w:rPr>
        <w:t>2. Không được trích quỹ phúc lợi của tập thể làm quà biếu cho bất cứ cơ quan nào trong tỉnh.</w:t>
      </w:r>
    </w:p>
    <w:p>
      <w:r>
        <w:rPr>
          <w:b w:val="0"/>
          <w:i w:val="0"/>
        </w:rPr>
        <w:t>3. Mọi chi phí hội nghị phải thi hành theo chế độ chính sách nhà nước ban hành, Ty Tài chánh chịu trách nhiệm hướng dẫn các ngành, các cấp thi hành cho đúng.</w:t>
      </w:r>
    </w:p>
    <w:p>
      <w:r>
        <w:rPr>
          <w:b w:val="0"/>
          <w:i w:val="0"/>
        </w:rPr>
        <w:t>4. Phải giao nộp các khoản đăng nộp theo quy định vào ngân sách, các ngành hành chính sự nghiệp và các ngành sản xuất kinh doanh có yêu cầu chi thì ngân sách cấp khi được duyệt.</w:t>
      </w:r>
    </w:p>
    <w:p>
      <w:r>
        <w:rPr>
          <w:b w:val="0"/>
          <w:i w:val="0"/>
        </w:rPr>
        <w:t>Chỉ thị này được phổ biến rộng rãi đến cán bộ, công nhân viên chức từng ngành, đơn vị, xí nghiệp, HTX từng cấp, tài vụ, kế toán cơ quan xí nghiệp, Công đoàn, Đoàn TNCS Hồ Chí Minh, HTX trên cơ sở phạm vi trách nhiệm của mình, làm nồng cốt giáo dục kiểm tra thực hiện.</w:t>
      </w:r>
    </w:p>
    <w:p>
      <w:r>
        <w:rPr>
          <w:b w:val="0"/>
          <w:i w:val="0"/>
        </w:rPr>
        <w:t>5. Ty Tài chánh căn cứ vào quy định chung về chi và nội dung của Chỉ thị này hướng dẫn cho hệ thống ngành thông suốt và chấp hành, không được phép thanh toán các khoản chi ngoài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