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13-TC/TT Về việc giải quyết kinh phí cho công tác cải tạo xã hội chủ nghĩa đối với nông nghiệp ở các tỉnh phía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Về việc giải quyết kinh phí cho công tác cải tạo xã hội chủ nghĩa đối với</w:t>
      </w:r>
    </w:p>
    <w:p>
      <w:pPr>
        <w:jc w:val="center"/>
      </w:pPr>
      <w:r>
        <w:rPr>
          <w:b/>
          <w:i w:val="0"/>
        </w:rPr>
        <w:t>nông nghiệp ở các tỉnh phía Nam.</w:t>
      </w:r>
    </w:p>
    <w:p>
      <w:pPr>
        <w:jc w:val="center"/>
      </w:pPr>
      <w:r>
        <w:rPr>
          <w:b w:val="0"/>
          <w:i w:val="0"/>
        </w:rPr>
        <w:t>_________________________</w:t>
      </w:r>
    </w:p>
    <w:p>
      <w:pPr>
        <w:jc w:val="both"/>
      </w:pPr>
      <w:r>
        <w:rPr>
          <w:b w:val="0"/>
          <w:i w:val="0"/>
        </w:rPr>
        <w:t>Thi hành quyết định số 228-NQ-NS/TW ngày 10/9/1977 của Bộ Chính trị Trung ương Đảng về việc thành lập Ban cải tạo nông nghiệp miền Nam và các Ban cải tạo nông nghiệp ở các tỉnh phía Nam, Bộ Tài chính quy định việc chi tiêu cho các Ban cải tạo nông nghiệp các cấp như sau:</w:t>
      </w:r>
    </w:p>
    <w:p>
      <w:pPr>
        <w:jc w:val="both"/>
      </w:pPr>
      <w:r>
        <w:rPr>
          <w:b w:val="0"/>
          <w:i w:val="0"/>
        </w:rPr>
        <w:t>- Kinh phí của Ban cải tạo nông nghiệp phía Nam do Ngân sách Trung ương chi và do Bộ Tài chính trực tiếp cấp.</w:t>
      </w:r>
    </w:p>
    <w:p>
      <w:pPr>
        <w:jc w:val="both"/>
      </w:pPr>
      <w:r>
        <w:rPr>
          <w:b w:val="0"/>
          <w:i w:val="0"/>
        </w:rPr>
        <w:t>- Kinh phí của các Ban cải tạo nông nghiệp tỉnh, thành phố trực thuộc Trung ương do Ngân sách tỉnh và thành phố chi.</w:t>
      </w:r>
    </w:p>
    <w:p>
      <w:pPr>
        <w:jc w:val="both"/>
      </w:pPr>
      <w:r>
        <w:rPr>
          <w:b w:val="0"/>
          <w:i w:val="0"/>
        </w:rPr>
        <w:t>1. Về kinh phí năm 1977, Ban cải tạo các cấp chưa kịp lập dự toán chi từ đầu năm, nay cần lập bổ sung và gửi Bộ Tài chính (đối với Ban cải tạo phía Nam) hoặc các Sở, Ty tài chính (đối với Ban cải tạo tỉnh, thành phố trực thuộc Trung ương).</w:t>
      </w:r>
    </w:p>
    <w:p>
      <w:pPr>
        <w:jc w:val="both"/>
      </w:pPr>
      <w:r>
        <w:rPr>
          <w:b w:val="0"/>
          <w:i w:val="0"/>
        </w:rPr>
        <w:t>Từ năm 1978 trở đi, Ban cải tạo nông nghiệp phía Nam cũng như các Ban cải tạo nông nghiệp tỉnh và thành phố trực thuộc Trung ương lập dự toán theo chế độ chung : dự toán của Ban cải tạo miền Nam gửi về Bộ Tài chính để tổng hợp vào dự toán ngân sách Trung ương, dự toán của Ban cải tạo các tỉnh và thành phố trực thuộc trung ương gửi cho Sở, Ty tài chính để tổng hợp vào dự toán ngân sách địa phương.</w:t>
      </w:r>
    </w:p>
    <w:p>
      <w:pPr>
        <w:jc w:val="both"/>
      </w:pPr>
      <w:r>
        <w:rPr>
          <w:b w:val="0"/>
          <w:i w:val="0"/>
        </w:rPr>
        <w:t>2. Nội dung dự toán của Ban cải tạo nông nghiệp các cấp gồm những khoản chi sau đây :</w:t>
      </w:r>
    </w:p>
    <w:p>
      <w:pPr>
        <w:jc w:val="both"/>
      </w:pPr>
      <w:r>
        <w:rPr>
          <w:b w:val="0"/>
          <w:i w:val="0"/>
        </w:rPr>
        <w:t>- Chi về lương</w:t>
      </w:r>
    </w:p>
    <w:p>
      <w:pPr>
        <w:jc w:val="both"/>
      </w:pPr>
      <w:r>
        <w:rPr>
          <w:b w:val="0"/>
          <w:i w:val="0"/>
        </w:rPr>
        <w:t>- Chi về phụ cấp lương</w:t>
      </w:r>
    </w:p>
    <w:p>
      <w:pPr>
        <w:jc w:val="both"/>
      </w:pPr>
      <w:r>
        <w:rPr>
          <w:b w:val="0"/>
          <w:i w:val="0"/>
        </w:rPr>
        <w:t>- Chi về phúc lợi tập thể</w:t>
      </w:r>
    </w:p>
    <w:p>
      <w:pPr>
        <w:jc w:val="both"/>
      </w:pPr>
      <w:r>
        <w:rPr>
          <w:b w:val="0"/>
          <w:i w:val="0"/>
        </w:rPr>
        <w:t>- Chi về y tế vệ sinh</w:t>
      </w:r>
    </w:p>
    <w:p>
      <w:pPr>
        <w:jc w:val="both"/>
      </w:pPr>
      <w:r>
        <w:rPr>
          <w:b w:val="0"/>
          <w:i w:val="0"/>
        </w:rPr>
        <w:t>- Chi về bảo hiểm xã hội</w:t>
      </w:r>
    </w:p>
    <w:p>
      <w:pPr>
        <w:jc w:val="both"/>
      </w:pPr>
      <w:r>
        <w:rPr>
          <w:b w:val="0"/>
          <w:i w:val="0"/>
        </w:rPr>
        <w:t>- Chi về công tác xã hội</w:t>
      </w:r>
    </w:p>
    <w:p>
      <w:pPr>
        <w:jc w:val="both"/>
      </w:pPr>
      <w:r>
        <w:rPr>
          <w:b w:val="0"/>
          <w:i w:val="0"/>
        </w:rPr>
        <w:t>- Chi về công vụ phí</w:t>
      </w:r>
    </w:p>
    <w:p>
      <w:pPr>
        <w:jc w:val="both"/>
      </w:pPr>
      <w:r>
        <w:rPr>
          <w:b w:val="0"/>
          <w:i w:val="0"/>
        </w:rPr>
        <w:t>- Chi về công tác phí</w:t>
      </w:r>
    </w:p>
    <w:p>
      <w:pPr>
        <w:jc w:val="both"/>
      </w:pPr>
      <w:r>
        <w:rPr>
          <w:b w:val="0"/>
          <w:i w:val="0"/>
        </w:rPr>
        <w:t>- Chi về mua sắm đồ đạc dụng cụ</w:t>
      </w:r>
    </w:p>
    <w:p>
      <w:pPr>
        <w:jc w:val="both"/>
      </w:pPr>
      <w:r>
        <w:rPr>
          <w:b w:val="0"/>
          <w:i w:val="0"/>
        </w:rPr>
        <w:t>- Chi về công tác nghiệp vụ cải tạo</w:t>
      </w:r>
    </w:p>
    <w:p>
      <w:pPr>
        <w:jc w:val="both"/>
      </w:pPr>
      <w:r>
        <w:rPr>
          <w:b w:val="0"/>
          <w:i w:val="0"/>
        </w:rPr>
        <w:t>- Chi về sinh hoạt phí và phúc lợi của cán bộ đi học (nếu có)</w:t>
      </w:r>
    </w:p>
    <w:p>
      <w:pPr>
        <w:jc w:val="both"/>
      </w:pPr>
      <w:r>
        <w:rPr>
          <w:b w:val="0"/>
          <w:i w:val="0"/>
        </w:rPr>
        <w:t>Trong khi lập dự toán, cần chú ý :</w:t>
      </w:r>
    </w:p>
    <w:p>
      <w:pPr>
        <w:jc w:val="both"/>
      </w:pPr>
      <w:r>
        <w:rPr>
          <w:b w:val="0"/>
          <w:i w:val="0"/>
        </w:rPr>
        <w:t>a) Chỉ dự trù trả lương và các khoản phụ cấp lương cho những cán bộ đã có quyết định cắt biên chế ở cơ quan cũ nay điều động hẳn sang Ban cải tạo.</w:t>
      </w:r>
    </w:p>
    <w:p>
      <w:pPr>
        <w:jc w:val="both"/>
      </w:pPr>
      <w:r>
        <w:rPr>
          <w:b w:val="0"/>
          <w:i w:val="0"/>
        </w:rPr>
        <w:t>b) Đối với những khoản chi về công việc tính theo tiêu chuẩn đầu người (như công vụ phí, công tác phí...) thì phải kể cả số cán bộ được trưng tập hay biệt phái tạm thời sang làm công tác cải tạo nhưng vẫn lĩnh lương ở cơ quan cũ.</w:t>
      </w:r>
    </w:p>
    <w:p>
      <w:pPr>
        <w:jc w:val="both"/>
      </w:pPr>
      <w:r>
        <w:rPr>
          <w:b w:val="0"/>
          <w:i w:val="0"/>
        </w:rPr>
        <w:t>c) Khoản chi về công tác nghiệp vụ chỉ gồm những công tác do Ban cải tạo trực tiếp quản lý, như : mở lớp huấn luyện cán bộ làm công tác cải tạo, in tài liệu tuyên truyền chính sách ..., còn những công tác có tính chất nghiệp vụ chuyên môn phục vụ công tác cải tạo (như đo đạc khảo sát, quy vùng, quy hoạch ... ) thì do các ngành có liên quan trực tiếp chi, Ban cải tạo không phải dự trù.</w:t>
      </w:r>
    </w:p>
    <w:p>
      <w:pPr>
        <w:jc w:val="both"/>
      </w:pPr>
      <w:r>
        <w:rPr>
          <w:b w:val="0"/>
          <w:i w:val="0"/>
        </w:rPr>
        <w:t>3. Việc quản lý dự toán phải theo đúng điều lệ quản lý kinh phí hành chính quy định tại Nghị định số 74-CP ngày 24/12/1960 của Hội đồng Chính phủ và thông tư hướng dẫn thi hành số 11-TC/HCP ngày 17/6/1961 của Bộ Tài chính.</w:t>
      </w:r>
    </w:p>
    <w:p>
      <w:pPr>
        <w:jc w:val="both"/>
      </w:pPr>
      <w:r>
        <w:rPr>
          <w:b w:val="0"/>
          <w:i w:val="0"/>
        </w:rPr>
        <w:t>Việc chi tiêu các khoản nói ở điểm 2 trên đều phải theo đúng các chế độ tiêu chuẩn hiện hành áp dụng đối với các cơ quan hành chính sự nghiệp.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val="0"/>
                <w:i w:val="0"/>
              </w:rPr>
              <w:t xml:space="preserve"> </w:t>
            </w:r>
            <w:r>
              <w:rPr>
                <w:b w:val="0"/>
                <w:i w:val="0"/>
              </w:rPr>
              <w:br/>
            </w:r>
            <w:r>
              <w:rPr>
                <w:b/>
                <w:i/>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