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13-TT/LB Về việc sửa đổi một số điểm cụ thể về biện pháp trả lương hai lần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CHÍNH-NGÂN </w:t>
            </w:r>
            <w:r>
              <w:br/>
            </w:r>
            <w:r>
              <w:rPr>
                <w:b/>
                <w:i w:val="0"/>
              </w:rPr>
              <w:br/>
              <w:t xml:space="preserve">          HÀNG NHÀ NƯỚC</w:t>
            </w:r>
            <w:r>
              <w:br/>
            </w:r>
            <w:r>
              <w:rPr>
                <w:b w:val="0"/>
                <w:i w:val="0"/>
              </w:rPr>
              <w:t>------------</w:t>
            </w:r>
            <w:r>
              <w:br/>
            </w:r>
            <w:r>
              <w:rPr>
                <w:b w:val="0"/>
                <w:i w:val="0"/>
              </w:rPr>
              <w:br/>
            </w:r>
            <w:r>
              <w:rPr>
                <w:b w:val="0"/>
                <w:i w:val="0"/>
              </w:rPr>
              <w:t>Số: 13-TT/LB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16 tháng 09 năm 1961</w:t>
            </w:r>
          </w:p>
        </w:tc>
      </w:tr>
    </w:tbl>
    <w:p>
      <w:pPr>
        <w:jc w:val="center"/>
      </w:pPr>
      <w:r>
        <w:rPr>
          <w:b/>
          <w:i w:val="0"/>
        </w:rPr>
        <w:t>THÔNG TƯ LIÊN BỘ</w:t>
      </w:r>
    </w:p>
    <w:p>
      <w:pPr>
        <w:jc w:val="center"/>
      </w:pPr>
      <w:r>
        <w:rPr>
          <w:b/>
          <w:i w:val="0"/>
        </w:rPr>
        <w:t>Về việc sửa đổi một số điểm cụ thể về biện pháp trả lương hai lần</w:t>
      </w:r>
    </w:p>
    <w:p>
      <w:pPr>
        <w:jc w:val="both"/>
      </w:pPr>
      <w:r>
        <w:rPr>
          <w:b w:val="0"/>
          <w:i w:val="0"/>
        </w:rPr>
        <w:t>Bắt đầu ngày 1-10-1060 thi hành thông tư số 229-TTg, ngày 1-10-1960 của Thủ tướng Chính phủ và thông tư Liên bộ Tài chính – Ngân hàng số 383-TT/LB, ngày 20-10-1960 về việc trả lương tháng phân tán làm 2 lần cho cán bộ, công nhân viên chức và bộ đội. Sau 10 tháng thực hiện việc phát lương phân tán làm 2 lần đã có tác dụng tốt trong việc quản lý tiền mặt và quản lý thị trường.</w:t>
      </w:r>
    </w:p>
    <w:p>
      <w:pPr>
        <w:jc w:val="both"/>
      </w:pPr>
      <w:r>
        <w:rPr>
          <w:b w:val="0"/>
          <w:i w:val="0"/>
        </w:rPr>
        <w:t>Tuy nhiên, việc chấp hành còn gặp một số khó khăn và cũng có những điểm trong quy định trước đây chưa sát với hoàn cảnh, với tính chất công tác của một số đơn vị cơ quan.</w:t>
      </w:r>
    </w:p>
    <w:p>
      <w:pPr>
        <w:jc w:val="both"/>
      </w:pPr>
      <w:r>
        <w:rPr>
          <w:b w:val="0"/>
          <w:i w:val="0"/>
        </w:rPr>
        <w:t>Để đảm bảo quản lý tiền mặt được tốt, về nguyên tắc vẫn chấp hành chủ trương trả lương phân tán làm 2 lần theo Thông tư số 383-TT/LB Tài chính – Ngân hàng hiện hành. Nhưng để chiếu cố đến hoàn cảnh đặc biệt của một số đơn vị, cơ quan,  công trường hiện nay bộ Tài chính – Ngân hàng Nhà nước Việt Nam quyết định bổ sung những trường hợp cụ thể sau đây được lĩnh 1 lần cho cả tháng:</w:t>
      </w:r>
    </w:p>
    <w:p>
      <w:pPr>
        <w:jc w:val="both"/>
      </w:pPr>
      <w:r>
        <w:rPr>
          <w:b w:val="0"/>
          <w:i w:val="0"/>
        </w:rPr>
        <w:t>1. Những cơ quan, xí nghiệp, công trường ở xa Chi điếm Ngân hàng như hải đảo, biên phòng hay ở xa đơn vị phát lương không có phương tiện giao thông, đường sá hiểm trở, đi về phải có bảo vệ, thường bị lụt ngập, mưa lũ v.v… Những tổ chức, đơn vị được phát lương một lần do cơ quan Tài chính và Ngân hàng địa phương xét định.</w:t>
      </w:r>
    </w:p>
    <w:p>
      <w:pPr>
        <w:jc w:val="both"/>
      </w:pPr>
      <w:r>
        <w:rPr>
          <w:b w:val="0"/>
          <w:i w:val="0"/>
        </w:rPr>
        <w:t>2. Cán bộ, công nhân nhân viên viên chức và bộ đội đi công tác xa trên một tháng (đi trước kỳ lĩnh lương lần thứ nhất và về sau kỳ lương lần thứ hai của tháng đó).</w:t>
      </w:r>
    </w:p>
    <w:p>
      <w:pPr>
        <w:jc w:val="both"/>
      </w:pPr>
      <w:r>
        <w:rPr>
          <w:b w:val="0"/>
          <w:i w:val="0"/>
        </w:rPr>
        <w:t>3. Đối với học sinh, sinh viên hưởng chế độ học bổng toàn phần thì quyết định như sau:</w:t>
      </w:r>
    </w:p>
    <w:p>
      <w:pPr>
        <w:jc w:val="both"/>
      </w:pPr>
      <w:r>
        <w:rPr>
          <w:b w:val="0"/>
          <w:i w:val="0"/>
        </w:rPr>
        <w:t>- Học sinh, sinh viên ngoại trú, thì vẫn phát 2 lần như thường lệ.</w:t>
      </w:r>
    </w:p>
    <w:p>
      <w:pPr>
        <w:jc w:val="both"/>
      </w:pPr>
      <w:r>
        <w:rPr>
          <w:b w:val="0"/>
          <w:i w:val="0"/>
        </w:rPr>
        <w:t>- Học sinh, sinh viên nội trú thì phát số tiền còn lại sau khi đã trừ tiền ăn cả tháng. Ví dụ học bổng được hưởng là 22đ, sau khi trừ tiền ăn 15đ còn lại thì phát 7đ.</w:t>
      </w:r>
    </w:p>
    <w:p>
      <w:pPr>
        <w:jc w:val="both"/>
      </w:pPr>
      <w:r>
        <w:rPr>
          <w:b w:val="0"/>
          <w:i w:val="0"/>
        </w:rPr>
        <w:t>Điều này áp dụng chung cho cả các trại an dưỡng hưởng chế độ an dưỡng không quá 25đ một tháng.</w:t>
      </w:r>
    </w:p>
    <w:p>
      <w:pPr>
        <w:jc w:val="both"/>
      </w:pPr>
      <w:r>
        <w:rPr>
          <w:b w:val="0"/>
          <w:i w:val="0"/>
        </w:rPr>
        <w:t>Những trường hợp khác, nếu xét thấy có khó khăn, ảnh hưởng đến sinh hoạt và sản xuất, thì cần nghiên cứu kỹ, cũng có thể linh hoạt phát lương 1 lần cho cả tháng, nhưng phải là trường hợp cá biệt và cũng chỉ có tính chất tạm thời, ví dụ bị tai nạn, vợ con đau ốm, và những trường hợp đột xuất v.v… những trường hợp đó vẫn phải được cơ quan Tài chính và Ngân hàng địa phương xét duyệt.</w:t>
      </w:r>
    </w:p>
    <w:p>
      <w:pPr>
        <w:jc w:val="both"/>
      </w:pPr>
      <w:r>
        <w:rPr>
          <w:b w:val="0"/>
          <w:i w:val="0"/>
        </w:rPr>
        <w:t>Các Chi nhánh, Chi điếm Ngân hàng, các Sở, Ty Tài chính và các cơ quan, xí nghiệp,công trường cần nhận rõ mục đích, ý nghĩa của những quyết định trên đây là nhằm giải quyết khó khăn có ảnh hưởng đến sản xuất và sinh hoạt của một số cán bộ công nhân viên chức và bộ đội, nhưng đồng thời vẫn phải chú trọng quản lý tiền mặt được tốt, nên phải chấp hành đúng đắn thông tư này, tránh mở rộng diện phát lương một lần một cách tràn lan, trái với quy định trên đây.</w:t>
      </w:r>
    </w:p>
    <w:p>
      <w:pPr>
        <w:jc w:val="both"/>
      </w:pPr>
      <w:r>
        <w:rPr>
          <w:b w:val="0"/>
          <w:i w:val="0"/>
        </w:rPr>
        <w:t>Thông tư này bắt đầu thi hành ngày 16 tháng 9 năm 1961.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t>BỘ TÀI CHÍNH</w:t>
            </w:r>
            <w:r>
              <w:br/>
            </w:r>
            <w:r>
              <w:rPr>
                <w:b/>
                <w:i w:val="0"/>
              </w:rPr>
              <w:t>THỨ TRƯỞNG</w:t>
            </w:r>
            <w:r>
              <w:br/>
            </w:r>
            <w:r>
              <w:rPr>
                <w:b/>
                <w:i/>
              </w:rPr>
              <w:t>(Đã ký)</w:t>
            </w:r>
            <w:r>
              <w:rPr>
                <w:b w:val="0"/>
                <w:i w:val="0"/>
              </w:rPr>
              <w:br/>
            </w:r>
            <w:r>
              <w:rPr>
                <w:b/>
                <w:i w:val="0"/>
              </w:rPr>
              <w:t>Trịnh Văn Bính</w:t>
            </w:r>
          </w:p>
        </w:tc>
        <w:tc>
          <w:tcPr>
            <w:tcW w:type="dxa" w:w="4320"/>
          </w:tcPr>
          <w:p>
            <w:r>
              <w:rPr>
                <w:b w:val="0"/>
                <w:i w:val="0"/>
              </w:rPr>
              <w:br/>
            </w:r>
            <w:r>
              <w:rPr>
                <w:b/>
                <w:i w:val="0"/>
              </w:rPr>
              <w:t xml:space="preserve">K.T.TỔNG GIÁM ĐỐC </w:t>
            </w:r>
            <w:r>
              <w:br/>
            </w:r>
            <w:r>
              <w:rPr>
                <w:b/>
                <w:i w:val="0"/>
              </w:rPr>
              <w:t xml:space="preserve">NGÂN HÀNG NHÀ NƯỚC </w:t>
            </w:r>
            <w:r>
              <w:br/>
            </w:r>
            <w:r>
              <w:rPr>
                <w:b/>
                <w:i w:val="0"/>
              </w:rPr>
              <w:t>PHÓ TỔNG GIÁM ĐỐC</w:t>
            </w:r>
            <w:r>
              <w:br/>
            </w:r>
            <w:r>
              <w:rPr>
                <w:b/>
                <w:i/>
              </w:rPr>
              <w:t>(Đã ký)</w:t>
            </w:r>
            <w:r>
              <w:rPr>
                <w:b w:val="0"/>
                <w:i w:val="0"/>
              </w:rPr>
              <w:t xml:space="preserve"> </w:t>
            </w:r>
            <w:r>
              <w:rPr>
                <w:b w:val="0"/>
                <w:i w:val="0"/>
              </w:rPr>
              <w:br/>
            </w:r>
            <w:r>
              <w:rPr>
                <w:b/>
                <w:i w:val="0"/>
              </w:rPr>
              <w:t>Trần Dương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