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1301/QĐ-UBND Về việc phê duyệt lại Đề án cải cách thủ tục hành chính </w:t>
        <w:br/>
        <w:t>theo cơ chế một cửa và một cửa liên thông tại Sở Y tế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1301/QĐ-UBND</w:t>
      </w:r>
      <w:r>
        <w:rPr>
          <w:b w:val="0"/>
          <w:i w:val="0"/>
        </w:rPr>
        <w:br/>
      </w:r>
      <w:r>
        <w:rPr>
          <w:b w:val="0"/>
          <w:i w:val="0"/>
        </w:rPr>
        <w:br/>
      </w:r>
      <w:r>
        <w:rPr>
          <w:b w:val="0"/>
          <w:i/>
        </w:rPr>
        <w:br/>
      </w:r>
      <w:r>
        <w:rPr>
          <w:b w:val="0"/>
          <w:i/>
        </w:rPr>
        <w:t>Bình Thuận, ngày 13 tháng 5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1301/QĐ-UBND</w:t>
      </w:r>
      <w:r>
        <w:rPr>
          <w:b w:val="0"/>
          <w:i w:val="0"/>
        </w:rPr>
        <w:br/>
      </w:r>
      <w:r>
        <w:rPr>
          <w:b w:val="0"/>
          <w:i w:val="0"/>
        </w:rPr>
        <w:br/>
      </w:r>
      <w:r>
        <w:rPr>
          <w:b w:val="0"/>
          <w:i/>
        </w:rPr>
        <w:br/>
      </w:r>
      <w:r>
        <w:rPr>
          <w:b w:val="0"/>
          <w:i/>
        </w:rPr>
        <w:t>Bình Thuận, ngày 13 tháng 5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1301/QĐ-UBND</w:t>
      </w:r>
      <w:r>
        <w:rPr>
          <w:b w:val="0"/>
          <w:i w:val="0"/>
        </w:rPr>
        <w:br/>
      </w:r>
      <w:r>
        <w:rPr>
          <w:b w:val="0"/>
          <w:i w:val="0"/>
        </w:rPr>
        <w:br/>
      </w:r>
      <w:r>
        <w:rPr>
          <w:b w:val="0"/>
          <w:i/>
        </w:rPr>
        <w:br/>
      </w:r>
      <w:r>
        <w:rPr>
          <w:b w:val="0"/>
          <w:i/>
        </w:rPr>
        <w:t>Bình Thuận, ngày 13 tháng 5 năm 2008</w:t>
      </w:r>
      <w:r>
        <w:rPr>
          <w:b w:val="0"/>
          <w:i/>
        </w:rPr>
        <w:br/>
      </w:r>
      <w:r>
        <w:rPr>
          <w:b w:val="0"/>
          <w:i w:val="0"/>
        </w:rPr>
        <w:br/>
      </w:r>
    </w:p>
    <w:p>
      <w:pPr>
        <w:jc w:val="center"/>
      </w:pPr>
      <w:r>
        <w:rPr>
          <w:b w:val="0"/>
          <w:i w:val="0"/>
        </w:rPr>
        <w:br/>
      </w:r>
      <w:r>
        <w:rPr>
          <w:b w:val="0"/>
          <w:i w:val="0"/>
        </w:rPr>
        <w:t>Số: 1301/QĐ-UBND</w:t>
      </w:r>
      <w:r>
        <w:rPr>
          <w:b w:val="0"/>
          <w:i w:val="0"/>
        </w:rPr>
        <w:br/>
      </w:r>
    </w:p>
    <w:p>
      <w:pPr>
        <w:jc w:val="center"/>
      </w:pPr>
      <w:r>
        <w:rPr>
          <w:b w:val="0"/>
          <w:i w:val="0"/>
        </w:rPr>
        <w:br/>
      </w:r>
      <w:r>
        <w:rPr>
          <w:b w:val="0"/>
          <w:i w:val="0"/>
        </w:rPr>
        <w:t>Bình Thuận, ngày 13 tháng 5 năm 2008</w:t>
      </w:r>
      <w:r>
        <w:rPr>
          <w:b w:val="0"/>
          <w:i w:val="0"/>
        </w:rPr>
        <w:br/>
      </w:r>
    </w:p>
    <w:p>
      <w:r>
        <w:rPr>
          <w:b w:val="0"/>
          <w:i w:val="0"/>
        </w:rPr>
        <w:t xml:space="preserve"> </w:t>
      </w:r>
      <w:r>
        <w:rPr>
          <w:b/>
          <w:i w:val="0"/>
        </w:rPr>
        <w:t>QUYẾT  ĐỊNH</w:t>
      </w:r>
    </w:p>
    <w:p>
      <w:r>
        <w:rPr>
          <w:b/>
          <w:i w:val="0"/>
        </w:rPr>
        <w:t xml:space="preserve">Về việc phê duyệt lại Đề án cải cách thủ tục hành chính </w:t>
      </w:r>
    </w:p>
    <w:p>
      <w:r>
        <w:rPr>
          <w:b/>
          <w:i w:val="0"/>
        </w:rPr>
        <w:t>theo cơ chế một cửa và một cửa liên thông tại Sở Y tế tỉnh Bình Thuận</w:t>
      </w:r>
    </w:p>
    <w:p>
      <w:pPr>
        <w:jc w:val="center"/>
      </w:pPr>
      <w:r>
        <w:rPr>
          <w:b w:val="0"/>
          <w:i w:val="0"/>
        </w:rPr>
        <w:t xml:space="preserve">_____________________ </w:t>
      </w:r>
    </w:p>
    <w:p>
      <w:pPr>
        <w:jc w:val="center"/>
      </w:pPr>
      <w:r>
        <w:rPr>
          <w:b w:val="0"/>
          <w:i w:val="0"/>
        </w:rPr>
        <w:t xml:space="preserve"> </w:t>
      </w:r>
      <w:r>
        <w:rPr>
          <w:b/>
          <w:i w:val="0"/>
        </w:rPr>
        <w:t>CHỦ TỊCH ỦY BAN NHÂN DÂN TỈNH BÌNH THUẬN</w:t>
      </w:r>
    </w:p>
    <w:p>
      <w:r>
        <w:rPr>
          <w:b w:val="0"/>
          <w:i w:val="0"/>
        </w:rPr>
        <w:t xml:space="preserve"> </w:t>
      </w:r>
      <w:r>
        <w:rPr>
          <w:b w:val="0"/>
          <w:i/>
        </w:rPr>
        <w:t>Căn cứ Luật Tổ chức Hội đồng nhân dân và Ủy ban nhân dân ngày 26 tháng 11 năm 2003;</w:t>
      </w:r>
    </w:p>
    <w:p>
      <w:r>
        <w:rPr>
          <w:b w:val="0"/>
          <w:i/>
        </w:rPr>
        <w:t xml:space="preserve">Căn cứ </w:t>
      </w:r>
      <w:r>
        <w:rPr>
          <w:b w:val="0"/>
          <w:i/>
        </w:rPr>
        <w:t>Quyết định số 93/2007/QĐ-TTg ngày 22/6/2007 của Thủ tướng Chính phủ về việc ban hành Quy chế thực hiện cơ chế một cửa, cơ chế một cửa liên thông tại cơ quan hành chính nhà nước ở địa phương;</w:t>
      </w:r>
    </w:p>
    <w:p>
      <w:r>
        <w:rPr>
          <w:b w:val="0"/>
          <w:i/>
        </w:rPr>
        <w:t>Căn cứ Kế hoạch cải cách hành chính giai đoạn 2006-2010 của tỉnh Bình Thuận;</w:t>
      </w:r>
    </w:p>
    <w:p>
      <w:r>
        <w:rPr>
          <w:b w:val="0"/>
          <w:i/>
        </w:rPr>
        <w:t>Xét đề nghị của Giám đốc Sở Y tế và Giám đốc Sở Nội vụ,</w:t>
      </w:r>
    </w:p>
    <w:p>
      <w:r>
        <w:rPr>
          <w:b/>
          <w:i w:val="0"/>
        </w:rPr>
        <w:t>QUYẾT ĐỊNH:</w:t>
      </w:r>
    </w:p>
    <w:p>
      <w:r>
        <w:rPr>
          <w:b w:val="0"/>
          <w:i w:val="0"/>
        </w:rPr>
        <w:t xml:space="preserve"> </w:t>
      </w:r>
      <w:r>
        <w:rPr>
          <w:b/>
          <w:i w:val="0"/>
        </w:rPr>
        <w:t xml:space="preserve">Điều 1. </w:t>
      </w:r>
      <w:r>
        <w:rPr>
          <w:b w:val="0"/>
          <w:i w:val="0"/>
        </w:rPr>
        <w:t>Nay phê duyệt lại Đề án cải cách thủ tục hành chính theo cơ chế một cửa và một cửa liên thông tại Sở Y tế tỉnh Bình Thuận, gồm các nội dung sau:</w:t>
      </w:r>
    </w:p>
    <w:p>
      <w:r>
        <w:rPr>
          <w:b/>
          <w:i w:val="0"/>
        </w:rPr>
        <w:t xml:space="preserve"> I. Các lĩnh vực thực hiện cơ chế một cửa và một cửa liên thông tại Sở Y tế tỉnh Bình Thuận:</w:t>
      </w:r>
    </w:p>
    <w:p>
      <w:r>
        <w:rPr>
          <w:b w:val="0"/>
          <w:i w:val="0"/>
        </w:rPr>
        <w:t>1. Cấp và gia hạn Chứng chỉ hành nghề y, y học cổ truyền;</w:t>
      </w:r>
    </w:p>
    <w:p>
      <w:r>
        <w:rPr>
          <w:b w:val="0"/>
          <w:i w:val="0"/>
        </w:rPr>
        <w:t>2. Cấp, gia hạn, đổi và cấp lại Chứng chỉ hành nghề dược, thuốc đông y;</w:t>
      </w:r>
    </w:p>
    <w:p>
      <w:r>
        <w:rPr>
          <w:b w:val="0"/>
          <w:i w:val="0"/>
        </w:rPr>
        <w:t>3. Cấp, gia hạn Giấy chứng nhận đủ điều kiện hành nghề y, y học cổ truyền;</w:t>
      </w:r>
    </w:p>
    <w:p>
      <w:r>
        <w:rPr>
          <w:b w:val="0"/>
          <w:i w:val="0"/>
        </w:rPr>
        <w:t>4. Cấp, bổ sung, gia hạn, cấp lại, đổi Giấy chứng nhận đủ điều kiện hành nghề dược;</w:t>
      </w:r>
    </w:p>
    <w:p>
      <w:r>
        <w:rPr>
          <w:b w:val="0"/>
          <w:i w:val="0"/>
        </w:rPr>
        <w:t>5. Cấp giấy chứng nhận đạt tiêu chuẩn Thực hành tốt phân phối thuốc (GDP);</w:t>
      </w:r>
    </w:p>
    <w:p>
      <w:r>
        <w:rPr>
          <w:b w:val="0"/>
          <w:i w:val="0"/>
        </w:rPr>
        <w:t>6. Cấp Giấy chứng nhận đạt tiêu chuẩn Thực hành tốt nhà thuốc (GPP);</w:t>
      </w:r>
    </w:p>
    <w:p>
      <w:r>
        <w:rPr>
          <w:b w:val="0"/>
          <w:i w:val="0"/>
        </w:rPr>
        <w:t>7. Tiếp nhận và xử lý hồ sơ công bố sản phẩm mỹ phẩm sản xuất tại tỉnh Bình Thuận;</w:t>
      </w:r>
    </w:p>
    <w:p>
      <w:r>
        <w:rPr>
          <w:b w:val="0"/>
          <w:i w:val="0"/>
        </w:rPr>
        <w:t>8. Tiếp nhận và giải quyết hồ sơ đăng ký quảng cáo mỹ phẩm;</w:t>
      </w:r>
    </w:p>
    <w:p>
      <w:r>
        <w:rPr>
          <w:b w:val="0"/>
          <w:i w:val="0"/>
        </w:rPr>
        <w:t>9. Tiếp nhận và giải quyết hồ sơ đăng ký hội thảo/tổ chức giới thiệu sự kiện mỹ phẩm;</w:t>
      </w:r>
    </w:p>
    <w:p>
      <w:r>
        <w:rPr>
          <w:b w:val="0"/>
          <w:i w:val="0"/>
        </w:rPr>
        <w:t>10. Tiếp nhận và giải quyết hồ sơ hội thảo giới thiệu thuốc;</w:t>
      </w:r>
    </w:p>
    <w:p>
      <w:r>
        <w:rPr>
          <w:b w:val="0"/>
          <w:i w:val="0"/>
        </w:rPr>
        <w:t>11. Cấp thẻ người giới thiệu thuốc;</w:t>
      </w:r>
    </w:p>
    <w:p>
      <w:r>
        <w:rPr>
          <w:b w:val="0"/>
          <w:i w:val="0"/>
        </w:rPr>
        <w:t>12. Đăng ký dịch vụ xoa bóp - massage;</w:t>
      </w:r>
    </w:p>
    <w:p>
      <w:r>
        <w:rPr>
          <w:b w:val="0"/>
          <w:i w:val="0"/>
        </w:rPr>
        <w:t>13. Cấp Giấy chứng nhận đủ điều kiện Vệ sinh an toàn thực phẩm;</w:t>
      </w:r>
    </w:p>
    <w:p>
      <w:r>
        <w:rPr>
          <w:b w:val="0"/>
          <w:i w:val="0"/>
        </w:rPr>
        <w:t>14. Công bố tiêu chuẩn sản phẩm;</w:t>
      </w:r>
    </w:p>
    <w:p>
      <w:r>
        <w:rPr>
          <w:b w:val="0"/>
          <w:i w:val="0"/>
        </w:rPr>
        <w:t>15. Hồ sơ thỏa thuận quảng cáo trên lĩnh vực y tế.</w:t>
      </w:r>
    </w:p>
    <w:p>
      <w:r>
        <w:rPr>
          <w:b/>
          <w:i w:val="0"/>
        </w:rPr>
        <w:t>II. Thành phần hồ sơ, thủ tục và thời hạn giải quyết: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r>
              <w:rPr>
                <w:b w:val="0"/>
                <w:i w:val="0"/>
              </w:rPr>
              <w:br/>
            </w:r>
            <w:r>
              <w:rPr>
                <w:b/>
                <w:i w:val="0"/>
              </w:rPr>
              <w:t>Stt</w:t>
            </w:r>
          </w:p>
        </w:tc>
        <w:tc>
          <w:tcPr>
            <w:tcW w:type="dxa" w:w="2160"/>
          </w:tcPr>
          <w:p>
            <w:r>
              <w:rPr>
                <w:b w:val="0"/>
                <w:i w:val="0"/>
              </w:rPr>
              <w:br/>
            </w:r>
            <w:r>
              <w:rPr>
                <w:b/>
                <w:i w:val="0"/>
              </w:rPr>
              <w:t xml:space="preserve"> </w:t>
            </w:r>
            <w:r>
              <w:rPr>
                <w:b w:val="0"/>
                <w:i w:val="0"/>
              </w:rPr>
              <w:br/>
            </w:r>
            <w:r>
              <w:rPr>
                <w:b/>
                <w:i w:val="0"/>
              </w:rPr>
              <w:t>Nội dung</w:t>
            </w:r>
          </w:p>
        </w:tc>
        <w:tc>
          <w:tcPr>
            <w:tcW w:type="dxa" w:w="2160"/>
          </w:tcPr>
          <w:p>
            <w:r>
              <w:rPr>
                <w:b w:val="0"/>
                <w:i w:val="0"/>
              </w:rPr>
              <w:br/>
            </w:r>
            <w:r>
              <w:rPr>
                <w:b/>
                <w:i w:val="0"/>
              </w:rPr>
              <w:t xml:space="preserve"> </w:t>
            </w:r>
            <w:r>
              <w:rPr>
                <w:b w:val="0"/>
                <w:i w:val="0"/>
              </w:rPr>
              <w:br/>
            </w:r>
            <w:r>
              <w:rPr>
                <w:b/>
                <w:i w:val="0"/>
              </w:rPr>
              <w:t>Thành phần hồ sơ</w:t>
            </w:r>
          </w:p>
        </w:tc>
        <w:tc>
          <w:tcPr>
            <w:tcW w:type="dxa" w:w="2160"/>
          </w:tcPr>
          <w:p>
            <w:r>
              <w:rPr>
                <w:b w:val="0"/>
                <w:i w:val="0"/>
              </w:rPr>
              <w:br/>
            </w:r>
            <w:r>
              <w:rPr>
                <w:b/>
                <w:i w:val="0"/>
              </w:rPr>
              <w:t>Thời hạn giải quyết</w:t>
            </w:r>
          </w:p>
        </w:tc>
      </w:tr>
    </w:tbl>
    <w:p>
      <w:r>
        <w:rPr>
          <w:b/>
          <w:i w:val="0"/>
        </w:rPr>
        <w:t xml:space="preserve">III. Quy trình tiếp nhận và giải quyết: </w:t>
      </w:r>
    </w:p>
    <w:p>
      <w:r>
        <w:rPr>
          <w:b w:val="0"/>
          <w:i w:val="0"/>
        </w:rPr>
        <w:t>- Khi có yêu cầu giải quyết hồ sơ hành chính liên quan đến các lĩnh vực thực hiện cơ chế một cửa nói trên, tổ chức, cá nhân liên hệ Bộ phận Tiếp nhận và Trả kết quả của Sở Y tế để nhận các mẫu đơn (miễn phí), được hướng dẫn thực hiện các thủ tục và nộp hồ sơ tại Bộ phận Tiếp nhận và Trả kết quả;</w:t>
      </w:r>
      <w:r>
        <w:br/>
      </w:r>
      <w:r>
        <w:rPr>
          <w:b w:val="0"/>
          <w:i w:val="0"/>
        </w:rPr>
        <w:t>- Nếu hồ sơ chưa hoàn chỉnh thì công chức Bộ phận Tiếp nhận và Trả kết quả hướng dẫn cho chủ hồ sơ bổ sung, chỉnh sửa cho hoàn chỉnh;</w:t>
      </w:r>
      <w:r>
        <w:br/>
      </w:r>
      <w:r>
        <w:rPr>
          <w:b w:val="0"/>
          <w:i w:val="0"/>
        </w:rPr>
        <w:t>- Nếu hồ sơ đủ, hoàn chỉnh thì công chức Bộ phận Tiếp nhận và Trả kết quả ghi phiếu tiếp nhận, thu phí theo quy định; chuyển hồ sơ đến cho phòng chuyên môn hoặc đơn vị chức năng giải quyết;</w:t>
      </w:r>
      <w:r>
        <w:br/>
      </w:r>
      <w:r>
        <w:rPr>
          <w:b w:val="0"/>
          <w:i w:val="0"/>
        </w:rPr>
        <w:t>Đối với các hồ sơ: Tiếp nhận và xử lý hồ sơ công bố sản phẩm mỹ phẩm sản xuất tại tỉnh Bình Thuận; tiếp nhận và giải quyết hồ sơ đăng ký quảng cáo mỹ phẩm; tiếp nhận và giải quyết hồ sơ đăng ký hội thảo/tổ chức giới thiệu sự kiện mỹ phẩm, tiếp nhận và giải quyết hồ sơ hội thảo giới thiệu thuốc thì công chức Bộ phận Tiếp nhận và Trả kết quả kiểm tra tính hợp lệ và đầy đủ của hồ sơ, viết biên lai thu phí, sau đó chuyển hồ sơ đến phòng Quản lý Dược xem xét trình lãnh đạo Sở ký Phiếu tiếp nhận.</w:t>
      </w:r>
      <w:r>
        <w:br/>
      </w:r>
      <w:r>
        <w:rPr>
          <w:b w:val="0"/>
          <w:i w:val="0"/>
        </w:rPr>
        <w:t>- Phòng chuyên môn hoặc đơn vị chức năng xem xét thẩm định hồ sơ, thẩm định trực tiếp tại cơ sở (đối với các lĩnh vực cấp Giấy chứng nhận đủ điều kiện hành nghề y, y học cổ truyền; cấp Giấy chứng nhận đủ điều kiện hành nghề dược; cấp giấy chứng nhận đạt tiêu chuẩn Thực hành tốt phân phối thuốc (GDP); cấp Giấy chứng nhận đạt tiêu chuẩn Thực hành tốt nhà thuốc (GPP); đăng ký dịch vụ xoa bóp - massage; cấp Giấy chứng nhận đủ điều kiện Vệ sinh an toàn thực phẩm), sau đó trình kết quả thẩm định và đề nghị Lãnh đạo Sở phê duyệt theo đề nghị của tổ chức, cá nhân.</w:t>
      </w:r>
      <w:r>
        <w:br/>
      </w:r>
      <w:r>
        <w:rPr>
          <w:b w:val="0"/>
          <w:i w:val="0"/>
        </w:rPr>
        <w:t>- Trong quá trình thẩm định, nếu phòng chuyên môn hoặc đơn vị chức năng phát hiện hồ sơ không hợp lệ hoặc cần điều chỉnh, bổ sung thì không quá một phần hai (1/2) thời gian quy định giải quyết hồ sơ, phòng chuyên môn hoặc đơn vị chức năng có trách nhiệm tham mưu lãnh đạo Sở ban hành văn bản yêu cầu chủ hồ sơ bổ sung hoặc điều chỉnh. Sau khi chủ hồ sơ đã hoàn chỉnh hồ sơ thì thời gian khi nộp lại hồ sơ sẽ được tính như nộp lần đầu.</w:t>
      </w:r>
      <w:r>
        <w:br/>
      </w:r>
      <w:r>
        <w:rPr>
          <w:b w:val="0"/>
          <w:i w:val="0"/>
        </w:rPr>
        <w:t>- Sau khi Lãnh đạo Sở phê duyệt, phòng chuyên môn hoặc đơn vị chức năng chuyển cho công chức Bộ phận Tiếp nhận và Trả kết quả để trả cho tổ chức, cá nhân.</w:t>
      </w:r>
    </w:p>
    <w:p>
      <w:r>
        <w:rPr>
          <w:b/>
          <w:i w:val="0"/>
        </w:rPr>
        <w:t>IV. Phí và lệ phí:</w:t>
      </w:r>
    </w:p>
    <w:p>
      <w:r>
        <w:rPr>
          <w:b w:val="0"/>
          <w:i w:val="0"/>
        </w:rPr>
        <w:t>Thực hiện theo quy định hiện hành của Nhà nước</w:t>
      </w:r>
    </w:p>
    <w:p>
      <w:r>
        <w:rPr>
          <w:b/>
          <w:i w:val="0"/>
        </w:rPr>
        <w:t>Điều 2</w:t>
      </w:r>
      <w:r>
        <w:rPr>
          <w:b w:val="0"/>
          <w:i w:val="0"/>
        </w:rPr>
        <w:t>. Giám đốc Sở Y tế có trách nhiệm phối hợp với các Sở, Ban, Ngành có liên quan của tỉnh tổ chức thực hiện có hiệu quả các lĩnh vực đã được phê duyệt lại.</w:t>
      </w:r>
    </w:p>
    <w:p>
      <w:r>
        <w:rPr>
          <w:b/>
          <w:i w:val="0"/>
        </w:rPr>
        <w:t>Điều 3.</w:t>
      </w:r>
      <w:r>
        <w:rPr>
          <w:b w:val="0"/>
          <w:i w:val="0"/>
        </w:rPr>
        <w:t xml:space="preserve"> Quyết định này có hiệu lực thi hành kể từ ngày ký và thay thế Quyết định số 1313/QĐ-CTUBBT ngày 01/4/2004 của Chủ tịch UBND tỉnh Bình Thuận về việc phê duyệt Đề án cải cách thủ tục hành chính theo cơ chế một cửa của Sở Y tế tỉnh Bình Thuận.</w:t>
      </w:r>
    </w:p>
    <w:p>
      <w:r>
        <w:rPr>
          <w:b/>
          <w:i w:val="0"/>
        </w:rPr>
        <w:t xml:space="preserve">Điều 4. </w:t>
      </w:r>
      <w:r>
        <w:rPr>
          <w:b w:val="0"/>
          <w:i w:val="0"/>
        </w:rPr>
        <w:t>Chánh Văn phòng UBND tỉnh, Giám đốc Sở Nội vụ, Giám đốc Sở Y tế, Thủ trưởng các cơ quan, tổ chức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Tấn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Tấn Thành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Tấn Thành</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Tấn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