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130/2004/QĐ-BCN Về việc chuyển Công ty Kim loại mầu Thái Nguyên thành Công ty trách nhiệm hữu hạn nhà nước một thành viên Kim loại mầu Thái Nguyên</w:t>
      </w:r>
    </w:p>
    <w:p>
      <w:r>
        <w:rPr>
          <w:b w:val="0"/>
          <w:i w:val="0"/>
        </w:rPr>
        <w:br/>
      </w:r>
      <w:r>
        <w:rPr>
          <w:b w:val="0"/>
          <w:i w:val="0"/>
        </w:rPr>
        <w:br/>
      </w:r>
      <w:r>
        <w:rPr>
          <w:b w:val="0"/>
          <w:i w:val="0"/>
        </w:rPr>
        <w:br/>
      </w:r>
      <w:r>
        <w:rPr>
          <w:b w:val="0"/>
          <w:i w:val="0"/>
        </w:rPr>
        <w:br/>
      </w:r>
      <w:r>
        <w:rPr>
          <w:b w:val="0"/>
          <w:i w:val="0"/>
        </w:rPr>
        <w:br/>
      </w:r>
      <w:r>
        <w:rPr>
          <w:b/>
          <w:i w:val="0"/>
        </w:rPr>
        <w:t>BỘ CÔNG NGHIỆP</w:t>
      </w:r>
      <w:r>
        <w:br/>
      </w:r>
      <w:r>
        <w:rPr>
          <w:b w:val="0"/>
          <w:i w:val="0"/>
        </w:rPr>
        <w:t>******</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t>********</w:t>
      </w:r>
      <w:r>
        <w:rPr>
          <w:b w:val="0"/>
          <w:i w:val="0"/>
        </w:rPr>
        <w:br/>
      </w:r>
      <w:r>
        <w:rPr>
          <w:b w:val="0"/>
          <w:i w:val="0"/>
        </w:rPr>
        <w:br/>
      </w:r>
      <w:r>
        <w:rPr>
          <w:b w:val="0"/>
          <w:i w:val="0"/>
        </w:rPr>
        <w:br/>
      </w:r>
      <w:r>
        <w:rPr>
          <w:b w:val="0"/>
          <w:i w:val="0"/>
        </w:rPr>
        <w:br/>
      </w:r>
      <w:r>
        <w:rPr>
          <w:b w:val="0"/>
          <w:i w:val="0"/>
        </w:rPr>
        <w:t>Số: 130/2004/QĐ-BCN</w:t>
      </w:r>
      <w:r>
        <w:rPr>
          <w:b w:val="0"/>
          <w:i w:val="0"/>
        </w:rPr>
        <w:br/>
      </w:r>
      <w:r>
        <w:rPr>
          <w:b w:val="0"/>
          <w:i w:val="0"/>
        </w:rPr>
        <w:br/>
      </w:r>
      <w:r>
        <w:rPr>
          <w:b w:val="0"/>
          <w:i/>
        </w:rPr>
        <w:t xml:space="preserve">Hà Nội, ngày 12 tháng 11 năm 2004 </w:t>
      </w:r>
      <w:r>
        <w:rPr>
          <w:b w:val="0"/>
          <w:i w:val="0"/>
        </w:rPr>
        <w:br/>
      </w:r>
      <w:r>
        <w:rPr>
          <w:b w:val="0"/>
          <w:i w:val="0"/>
        </w:rPr>
        <w:br/>
      </w:r>
      <w:r>
        <w:rPr>
          <w:b w:val="0"/>
          <w:i w:val="0"/>
        </w:rPr>
        <w:br/>
      </w:r>
      <w:r>
        <w:rPr>
          <w:b w:val="0"/>
          <w:i w:val="0"/>
        </w:rPr>
        <w:br/>
      </w:r>
      <w:r>
        <w:rPr>
          <w:b/>
          <w:i w:val="0"/>
        </w:rPr>
        <w:t>QUYẾT ĐỊNH</w:t>
      </w:r>
      <w:r>
        <w:rPr>
          <w:b w:val="0"/>
          <w:i w:val="0"/>
        </w:rPr>
        <w:br/>
      </w:r>
      <w:r>
        <w:rPr>
          <w:b/>
          <w:i w:val="0"/>
        </w:rPr>
        <w:t xml:space="preserve">Về việc chuyển Công ty Kim loại mầu Thái Nguyên thành Công ty  trách </w:t>
      </w:r>
      <w:r>
        <w:rPr>
          <w:b w:val="0"/>
          <w:i w:val="0"/>
        </w:rPr>
        <w:br/>
      </w:r>
      <w:r>
        <w:rPr>
          <w:b/>
          <w:i w:val="0"/>
        </w:rPr>
        <w:t>nhiệm hữu hạn nhà nước một thành viên Kim loại mầu Thái Nguyên</w:t>
      </w:r>
      <w:r>
        <w:rPr>
          <w:b w:val="0"/>
          <w:i w:val="0"/>
        </w:rPr>
        <w:br/>
      </w:r>
      <w:r>
        <w:rPr>
          <w:b/>
          <w:i w:val="0"/>
        </w:rPr>
        <w:t>BỘ TRƯỞNG BỘ CÔNG NGHIỆP</w:t>
      </w:r>
      <w:r>
        <w:rPr>
          <w:b w:val="0"/>
          <w:i w:val="0"/>
        </w:rPr>
        <w:br/>
      </w:r>
      <w:r>
        <w:rPr>
          <w:b w:val="0"/>
          <w:i/>
        </w:rPr>
        <w:t>Căn cứ Nghị định số 55/2003/NĐ-CP ngày 28 tháng 5 năm 2003 của Chính phủ quy định chức năng, nhiệm vụ, quyền hạn và cơ cấu tổ chức của Bộ Công nghiệp;</w:t>
      </w:r>
      <w:r>
        <w:rPr>
          <w:b w:val="0"/>
          <w:i w:val="0"/>
        </w:rPr>
        <w:br/>
      </w:r>
      <w:r>
        <w:rPr>
          <w:b w:val="0"/>
          <w:i/>
        </w:rPr>
        <w:t>Căn cứ Nghị định số 63/2001/NĐ-CP ngày 14 tháng 9 năm 2001 của Chính phủ về chuyển đổi doanh nghiệp nhà nước, doanh nghiệp của tổ chức chính trị, tổ chức chính trị-xã hội thành Công ty trách nhiệm hữu hạn một thành viên;</w:t>
      </w:r>
      <w:r>
        <w:rPr>
          <w:b w:val="0"/>
          <w:i w:val="0"/>
        </w:rPr>
        <w:br/>
      </w:r>
      <w:r>
        <w:rPr>
          <w:b w:val="0"/>
          <w:i/>
        </w:rPr>
        <w:t>Căn cứ Quyết định số 125/QĐ-TTg ngày 28 tháng 01 năm 2003 của Thủ tướng Chính phủ về việc phê duyệt Đề án tổng thể sắp xếp, đổi mới Tổng công ty nhà nước và doanh nghiệp nhà nước thuộc Bộ Công nghiệp giai đoạn 2003-2005;</w:t>
      </w:r>
      <w:r>
        <w:rPr>
          <w:b w:val="0"/>
          <w:i w:val="0"/>
        </w:rPr>
        <w:br/>
      </w:r>
      <w:r>
        <w:rPr>
          <w:b w:val="0"/>
          <w:i/>
        </w:rPr>
        <w:t>Xét đề nghị của Hội đồng quản trị Tổng công ty Khoáng sản Việt Nam (Công văn số 1109/CV-TCLĐ ngày 01 tháng 11 năm 2004 và Hồ sơ chuyển đổi Công ty Kim loại màu Thái Nguyên thành Công ty trách nhiệm hữu hạn nhà nước một thành viên Kim loại màu Thái Nguyên;</w:t>
      </w:r>
      <w:r>
        <w:rPr>
          <w:b w:val="0"/>
          <w:i w:val="0"/>
        </w:rPr>
        <w:br/>
      </w:r>
      <w:r>
        <w:rPr>
          <w:b w:val="0"/>
          <w:i/>
        </w:rPr>
        <w:t>Theo đề nghị của Vụ trưởng Vụ Tổ chức - Cán bộ</w:t>
      </w:r>
      <w:r>
        <w:rPr>
          <w:b w:val="0"/>
          <w:i w:val="0"/>
        </w:rPr>
        <w:br/>
      </w:r>
      <w:r>
        <w:rPr>
          <w:b/>
          <w:i w:val="0"/>
        </w:rPr>
        <w:t>QUYẾT ĐỊNH:</w:t>
      </w:r>
      <w:r>
        <w:rPr>
          <w:b w:val="0"/>
          <w:i w:val="0"/>
        </w:rPr>
        <w:br/>
      </w:r>
      <w:r>
        <w:rPr>
          <w:b/>
          <w:i w:val="0"/>
        </w:rPr>
        <w:t>Điều 1.</w:t>
      </w:r>
      <w:r>
        <w:rPr>
          <w:b w:val="0"/>
          <w:i w:val="0"/>
        </w:rPr>
        <w:t xml:space="preserve"> Chuyển Công ty Kim loại màu Thái Nguyên, doanh nghiệp thành viên hạch toán độc lập thuộc Tổng công ty Khoáng sản Việt Nam thành Công ty trách nhiệm hữu hạn nhà nước một thành viên Kim loại màu Thái Nguyên.</w:t>
      </w:r>
      <w:r>
        <w:rPr>
          <w:b w:val="0"/>
          <w:i w:val="0"/>
        </w:rPr>
        <w:br/>
      </w:r>
      <w:r>
        <w:rPr>
          <w:b w:val="0"/>
          <w:i w:val="0"/>
        </w:rPr>
        <w:t>Công ty trách nhiệm hữu hạn nhà nước một thành viên Kim loại màu Thái Nguyên (gọi tắt là Công ty) có con dấu riêng, được mở tài khoản tại Ngân hàng trong và ngoài nước theo quy định của pháp luật, hoạt động theo Điều lệ của Công ty do Hội đồng quản trị Tổng công ty Khoáng sản Việt Nam phê duyệt và theo Luật Doanh nghiệp.</w:t>
      </w:r>
      <w:r>
        <w:rPr>
          <w:b w:val="0"/>
          <w:i w:val="0"/>
        </w:rPr>
        <w:br/>
      </w:r>
      <w:r>
        <w:rPr>
          <w:b w:val="0"/>
          <w:i w:val="0"/>
        </w:rPr>
        <w:t>- Tên gọi đầy đủ : Công ty trách nhiệm hữu hạn nhà nước một thành viên Kim loại màu Thái Nguyên.</w:t>
      </w:r>
      <w:r>
        <w:rPr>
          <w:b w:val="0"/>
          <w:i w:val="0"/>
        </w:rPr>
        <w:br/>
      </w:r>
      <w:r>
        <w:rPr>
          <w:b w:val="0"/>
          <w:i w:val="0"/>
        </w:rPr>
        <w:t>- Tên viết tắt : Công ty Kim loại màu Thái Nguyên.</w:t>
      </w:r>
      <w:r>
        <w:rPr>
          <w:b w:val="0"/>
          <w:i w:val="0"/>
        </w:rPr>
        <w:br/>
      </w:r>
      <w:r>
        <w:rPr>
          <w:b/>
          <w:i w:val="0"/>
        </w:rPr>
        <w:t xml:space="preserve">- </w:t>
      </w:r>
      <w:r>
        <w:rPr>
          <w:b w:val="0"/>
          <w:i w:val="0"/>
        </w:rPr>
        <w:t>Tên giao dịch quốc tế bằng tiếng Anh:</w:t>
      </w:r>
      <w:r>
        <w:rPr>
          <w:b/>
          <w:i w:val="0"/>
        </w:rPr>
        <w:t xml:space="preserve"> </w:t>
      </w:r>
      <w:r>
        <w:rPr>
          <w:b w:val="0"/>
          <w:i w:val="0"/>
        </w:rPr>
        <w:t>Thai Nguyen</w:t>
      </w:r>
      <w:r>
        <w:rPr>
          <w:b w:val="0"/>
          <w:i/>
        </w:rPr>
        <w:t xml:space="preserve"> </w:t>
      </w:r>
      <w:r>
        <w:rPr>
          <w:b w:val="0"/>
          <w:i w:val="0"/>
        </w:rPr>
        <w:t>Non-Ferrous Metals Limited Company.</w:t>
      </w:r>
      <w:r>
        <w:rPr>
          <w:b w:val="0"/>
          <w:i w:val="0"/>
        </w:rPr>
        <w:br/>
      </w:r>
      <w:r>
        <w:rPr>
          <w:b w:val="0"/>
          <w:i/>
        </w:rPr>
        <w:t xml:space="preserve">- </w:t>
      </w:r>
      <w:r>
        <w:rPr>
          <w:b w:val="0"/>
          <w:i w:val="0"/>
        </w:rPr>
        <w:t>Tên viết tắt : TMC.Co. Ltd.</w:t>
      </w:r>
      <w:r>
        <w:rPr>
          <w:b w:val="0"/>
          <w:i w:val="0"/>
        </w:rPr>
        <w:br/>
      </w:r>
      <w:r>
        <w:rPr>
          <w:b w:val="0"/>
          <w:i w:val="0"/>
        </w:rPr>
        <w:t>- Trụ sở chính đặt tại : phường Phú Xá, thành phố Thái Nguyên, tỉnh Thái Nguyên.</w:t>
      </w:r>
      <w:r>
        <w:rPr>
          <w:b w:val="0"/>
          <w:i w:val="0"/>
        </w:rPr>
        <w:br/>
      </w:r>
      <w:r>
        <w:rPr>
          <w:b w:val="0"/>
          <w:i w:val="0"/>
        </w:rPr>
        <w:t>- Vốn điều lệ của Công ty tại thời điểm chuyển đổi : 43.376.037.135</w:t>
      </w:r>
      <w:r>
        <w:rPr>
          <w:b w:val="0"/>
          <w:i/>
        </w:rPr>
        <w:t xml:space="preserve"> </w:t>
      </w:r>
      <w:r>
        <w:rPr>
          <w:b w:val="0"/>
          <w:i w:val="0"/>
        </w:rPr>
        <w:t>đồng (Bốn mươi ba tỷ, ba trăm bảy mươi sáu triệu, ba mươi bảy ngàn, một trăm ba mươi năm đồng).</w:t>
      </w:r>
      <w:r>
        <w:rPr>
          <w:b w:val="0"/>
          <w:i w:val="0"/>
        </w:rPr>
        <w:br/>
      </w:r>
      <w:r>
        <w:rPr>
          <w:b/>
          <w:i w:val="0"/>
        </w:rPr>
        <w:t>Điều 2.</w:t>
      </w:r>
      <w:r>
        <w:rPr>
          <w:b w:val="0"/>
          <w:i w:val="0"/>
        </w:rPr>
        <w:t xml:space="preserve"> Ngành nghề kinh doanh của Công ty:</w:t>
      </w:r>
      <w:r>
        <w:rPr>
          <w:b w:val="0"/>
          <w:i w:val="0"/>
        </w:rPr>
        <w:br/>
      </w:r>
      <w:r>
        <w:rPr>
          <w:b w:val="0"/>
          <w:i w:val="0"/>
        </w:rPr>
        <w:t>- Khảo sát, thăm dò, khai thác mỏ, chế biến, tinh luyện kim loại mầu;</w:t>
      </w:r>
      <w:r>
        <w:rPr>
          <w:b w:val="0"/>
          <w:i w:val="0"/>
        </w:rPr>
        <w:br/>
      </w:r>
      <w:r>
        <w:rPr>
          <w:b w:val="0"/>
          <w:i w:val="0"/>
        </w:rPr>
        <w:t>- Thiết kế, thi công các công trình khai thác mỏ; các công trình tuyển, luyện khoáng sản; các công trình hạ tầng cơ sở, các công trình công nghiệp và dân dụng;</w:t>
      </w:r>
      <w:r>
        <w:rPr>
          <w:b w:val="0"/>
          <w:i w:val="0"/>
        </w:rPr>
        <w:br/>
      </w:r>
      <w:r>
        <w:rPr>
          <w:b w:val="0"/>
          <w:i w:val="0"/>
        </w:rPr>
        <w:t>- Kinh doanh các loại khoáng sản, sản xuất vật liệu xây dựng;</w:t>
      </w:r>
      <w:r>
        <w:rPr>
          <w:b w:val="0"/>
          <w:i w:val="0"/>
        </w:rPr>
        <w:br/>
      </w:r>
      <w:r>
        <w:rPr>
          <w:b w:val="0"/>
          <w:i w:val="0"/>
        </w:rPr>
        <w:t>- Sửa chữa ô tô và thiết bị khai thác mỏ. Thiết kế, chế tạo thiết bị, phụ tùng đi kèm;</w:t>
      </w:r>
      <w:r>
        <w:rPr>
          <w:b w:val="0"/>
          <w:i w:val="0"/>
        </w:rPr>
        <w:br/>
      </w:r>
      <w:r>
        <w:rPr>
          <w:b w:val="0"/>
          <w:i w:val="0"/>
        </w:rPr>
        <w:t>- Xuất nhập khẩu thiết bị, vật tư, phụ tùng và khoáng sản các loại;</w:t>
      </w:r>
      <w:r>
        <w:rPr>
          <w:b w:val="0"/>
          <w:i w:val="0"/>
        </w:rPr>
        <w:br/>
      </w:r>
      <w:r>
        <w:rPr>
          <w:b w:val="0"/>
          <w:i w:val="0"/>
        </w:rPr>
        <w:t>- Kinh doanh các ngành nghề khác theo quy định của pháp luật.</w:t>
      </w:r>
      <w:r>
        <w:rPr>
          <w:b w:val="0"/>
          <w:i w:val="0"/>
        </w:rPr>
        <w:br/>
      </w:r>
      <w:r>
        <w:rPr>
          <w:b/>
          <w:i w:val="0"/>
        </w:rPr>
        <w:t>Điều 3.</w:t>
      </w:r>
      <w:r>
        <w:rPr>
          <w:b w:val="0"/>
          <w:i w:val="0"/>
        </w:rPr>
        <w:t xml:space="preserve"> Tổ chức và hoạt động của Công ty:</w:t>
      </w:r>
      <w:r>
        <w:rPr>
          <w:b w:val="0"/>
          <w:i w:val="0"/>
        </w:rPr>
        <w:br/>
      </w:r>
      <w:r>
        <w:rPr>
          <w:b w:val="0"/>
          <w:i w:val="0"/>
        </w:rPr>
        <w:t>1. Cơ cấu tổ chức của Công ty gồm có:</w:t>
      </w:r>
      <w:r>
        <w:rPr>
          <w:b w:val="0"/>
          <w:i w:val="0"/>
        </w:rPr>
        <w:br/>
      </w:r>
      <w:r>
        <w:rPr>
          <w:b w:val="0"/>
          <w:i w:val="0"/>
        </w:rPr>
        <w:t>a) Chủ tịch Công ty;</w:t>
      </w:r>
      <w:r>
        <w:rPr>
          <w:b w:val="0"/>
          <w:i w:val="0"/>
        </w:rPr>
        <w:br/>
      </w:r>
      <w:r>
        <w:rPr>
          <w:b w:val="0"/>
          <w:i w:val="0"/>
        </w:rPr>
        <w:t>b) Giám đốc và bộ máy giúp việc;</w:t>
      </w:r>
      <w:r>
        <w:rPr>
          <w:b w:val="0"/>
          <w:i w:val="0"/>
        </w:rPr>
        <w:br/>
      </w:r>
      <w:r>
        <w:rPr>
          <w:b w:val="0"/>
          <w:i w:val="0"/>
        </w:rPr>
        <w:t>c) Các đơn vị trực thuộc Công ty.</w:t>
      </w:r>
      <w:r>
        <w:rPr>
          <w:b w:val="0"/>
          <w:i w:val="0"/>
        </w:rPr>
        <w:br/>
      </w:r>
      <w:r>
        <w:rPr>
          <w:b w:val="0"/>
          <w:i w:val="0"/>
        </w:rPr>
        <w:t>2. Tổ chức và hoạt động của Công ty được quy định cụ thể trong Điều lệ  của Công ty.</w:t>
      </w:r>
      <w:r>
        <w:rPr>
          <w:b w:val="0"/>
          <w:i w:val="0"/>
        </w:rPr>
        <w:br/>
      </w:r>
      <w:r>
        <w:rPr>
          <w:b/>
          <w:i w:val="0"/>
        </w:rPr>
        <w:t>Điều 4.</w:t>
      </w:r>
      <w:r>
        <w:rPr>
          <w:b w:val="0"/>
          <w:i w:val="0"/>
        </w:rPr>
        <w:t xml:space="preserve"> Tổ chức được Nhà nước uỷ quyền là đại diện chủ sở hữu:</w:t>
      </w:r>
      <w:r>
        <w:rPr>
          <w:b w:val="0"/>
          <w:i w:val="0"/>
        </w:rPr>
        <w:br/>
      </w:r>
      <w:r>
        <w:rPr>
          <w:b w:val="0"/>
          <w:i w:val="0"/>
        </w:rPr>
        <w:t>Hội đồng quản trị Tổng công ty Khoáng sản Việt Nam.</w:t>
      </w:r>
      <w:r>
        <w:rPr>
          <w:b w:val="0"/>
          <w:i w:val="0"/>
        </w:rPr>
        <w:br/>
      </w:r>
      <w:r>
        <w:rPr>
          <w:b w:val="0"/>
          <w:i w:val="0"/>
        </w:rPr>
        <w:t>Địa chỉ : Số 562 đường Nguyễn Văn Cừ, phường Gia Thụy, quận Long Biên, thành phố Hà Nội.</w:t>
      </w:r>
      <w:r>
        <w:rPr>
          <w:b w:val="0"/>
          <w:i w:val="0"/>
        </w:rPr>
        <w:br/>
      </w:r>
      <w:r>
        <w:rPr>
          <w:b w:val="0"/>
          <w:i w:val="0"/>
        </w:rPr>
        <w:t>Hội đồng quản trị Tổng công ty Khoáng sản Việt Nam có trách nhiệm thực hiện quyền đại diện chủ sở hữu vốn theo quy định của pháp luật hiện hành và Điều lệ Công ty.</w:t>
      </w:r>
      <w:r>
        <w:rPr>
          <w:b w:val="0"/>
          <w:i w:val="0"/>
        </w:rPr>
        <w:br/>
      </w:r>
      <w:r>
        <w:rPr>
          <w:b/>
          <w:i w:val="0"/>
        </w:rPr>
        <w:t>Điều 5.</w:t>
      </w:r>
      <w:r>
        <w:rPr>
          <w:b w:val="0"/>
          <w:i w:val="0"/>
        </w:rPr>
        <w:t xml:space="preserve"> Công ty trách nhiệm hữu hạn nhà nước một thành viên Kim loại màu Thái Nguyên có trách nhiệm tiếp nhận và sử dụng có hiệu quả vốn, tài sản do Hội đồng quản trị Tổng công ty Khoáng sản Việt Nam giao để thực hiện nhiệm vụ phát triển sản xuất kinh doanh, kế thừa các quyền, lợi ích và các nghĩa vụ hợp pháp về tiền vốn, tài sản, lao động, đất đai của Công ty Kim loại màu Thái Nguyên.</w:t>
      </w:r>
      <w:r>
        <w:rPr>
          <w:b w:val="0"/>
          <w:i w:val="0"/>
        </w:rPr>
        <w:br/>
      </w:r>
      <w:r>
        <w:rPr>
          <w:b/>
          <w:i w:val="0"/>
        </w:rPr>
        <w:t>Điều 6.</w:t>
      </w:r>
      <w:r>
        <w:rPr>
          <w:b w:val="0"/>
          <w:i w:val="0"/>
        </w:rPr>
        <w:t xml:space="preserve"> Chủ tịch Công ty trách nhiệm hữu hạn nhà nước một thành viên Kim loại màu Thái Nguyên có trách nhiệm xây dựng Điều lệ của Công ty trình Hội đồng quản trị Tổng công ty Khoáng sản Việt Nam phê duyệt; bổ nhiệm Giám đốc, các Phó giám đốc, Kế toán trưởng Công ty theo quy định tại Điều lệ Công ty và pháp luật hiện hành.</w:t>
      </w:r>
      <w:r>
        <w:rPr>
          <w:b w:val="0"/>
          <w:i w:val="0"/>
        </w:rPr>
        <w:br/>
      </w:r>
      <w:r>
        <w:rPr>
          <w:b/>
          <w:i w:val="0"/>
        </w:rPr>
        <w:t>Điều 7.</w:t>
      </w:r>
      <w:r>
        <w:rPr>
          <w:b w:val="0"/>
          <w:i w:val="0"/>
        </w:rPr>
        <w:t xml:space="preserve"> Quyết định này có hiệu lực thi hành sau 15 ngày, kể từ ngày đăng Công báo.</w:t>
      </w:r>
      <w:r>
        <w:rPr>
          <w:b w:val="0"/>
          <w:i w:val="0"/>
        </w:rPr>
        <w:br/>
      </w:r>
      <w:r>
        <w:rPr>
          <w:b w:val="0"/>
          <w:i w:val="0"/>
        </w:rPr>
        <w:t>Chánh Văn phòng Bộ, Chánh Thanh tra Bộ, các Vụ trưởng, Cục trưởng thuộc Bộ, Hội đồng quản trị và Tổng giám đốc Tổng công ty Khoáng sản Việt Nam, Giám đốc Công ty Kim loại màu Thái Nguyên, Chủ tịch và Giám đốc Công ty trách nhiệm hữu hạn nhà nước một thành viên Kim loại màu Thái Nguyên chịu trách nhiệm thi hành Quyết định này./.</w:t>
      </w:r>
      <w:r>
        <w:rPr>
          <w:b w:val="0"/>
          <w:i w:val="0"/>
        </w:rPr>
        <w:br/>
      </w:r>
      <w:r>
        <w:rPr>
          <w:b w:val="0"/>
          <w:i w:val="0"/>
        </w:rPr>
        <w:br/>
      </w:r>
      <w:r>
        <w:rPr>
          <w:b w:val="0"/>
          <w:i w:val="0"/>
        </w:rPr>
        <w:br/>
      </w:r>
      <w:r>
        <w:rPr>
          <w:b w:val="0"/>
          <w:i w:val="0"/>
        </w:rPr>
        <w:br/>
      </w:r>
      <w:r>
        <w:rPr>
          <w:b w:val="0"/>
          <w:i w:val="0"/>
        </w:rPr>
        <w:br/>
      </w:r>
      <w:r>
        <w:rPr>
          <w:b/>
          <w:i/>
        </w:rPr>
        <w:t xml:space="preserve">Nơi nhận </w:t>
      </w:r>
      <w:r>
        <w:rPr>
          <w:b w:val="0"/>
          <w:i/>
        </w:rPr>
        <w:t>:</w:t>
      </w:r>
      <w:r>
        <w:br/>
      </w:r>
      <w:r>
        <w:rPr>
          <w:b w:val="0"/>
          <w:i w:val="0"/>
        </w:rPr>
        <w:t>- Như Điều 7,</w:t>
      </w:r>
      <w:r>
        <w:br/>
      </w:r>
      <w:r>
        <w:rPr>
          <w:b w:val="0"/>
          <w:i w:val="0"/>
        </w:rPr>
        <w:t>- VP Chính phủ,</w:t>
      </w:r>
      <w:r>
        <w:br/>
      </w:r>
      <w:r>
        <w:rPr>
          <w:b w:val="0"/>
          <w:i w:val="0"/>
        </w:rPr>
        <w:t xml:space="preserve">- Các Bộ : Kế hoạch và Đầu tư, Tài chính, Công an, LĐTB&amp;XH, Nội vụ, Tư pháp, </w:t>
      </w:r>
      <w:r>
        <w:br/>
      </w:r>
      <w:r>
        <w:rPr>
          <w:b w:val="0"/>
          <w:i w:val="0"/>
        </w:rPr>
        <w:t xml:space="preserve">- Ngân hàng Nhà nước, Kho bạc NN TW, </w:t>
      </w:r>
      <w:r>
        <w:br/>
      </w:r>
      <w:r>
        <w:rPr>
          <w:b w:val="0"/>
          <w:i w:val="0"/>
        </w:rPr>
        <w:t xml:space="preserve">- UBND Tỉnh Thái Nguyên, </w:t>
      </w:r>
      <w:r>
        <w:br/>
      </w:r>
      <w:r>
        <w:rPr>
          <w:b w:val="0"/>
          <w:i w:val="0"/>
        </w:rPr>
        <w:t>- Bộ trưởng (để b/c),</w:t>
      </w:r>
      <w:r>
        <w:br/>
      </w:r>
      <w:r>
        <w:rPr>
          <w:b w:val="0"/>
          <w:i w:val="0"/>
        </w:rPr>
        <w:t xml:space="preserve">- Các đồng chí Thứ trưởng, </w:t>
      </w:r>
      <w:r>
        <w:br/>
      </w:r>
      <w:r>
        <w:rPr>
          <w:b w:val="0"/>
          <w:i w:val="0"/>
        </w:rPr>
        <w:t xml:space="preserve">- Ban Đổi mới và PTDN Bộ, </w:t>
      </w:r>
      <w:r>
        <w:br/>
      </w:r>
      <w:r>
        <w:rPr>
          <w:b w:val="0"/>
          <w:i w:val="0"/>
        </w:rPr>
        <w:t>- Công đoàn Công nghiệp Việt Nam,</w:t>
      </w:r>
      <w:r>
        <w:br/>
      </w:r>
      <w:r>
        <w:rPr>
          <w:b w:val="0"/>
          <w:i w:val="0"/>
        </w:rPr>
        <w:t>- Công ty KLM Thái Nguyên (3b),</w:t>
      </w:r>
      <w:r>
        <w:br/>
      </w:r>
      <w:r>
        <w:rPr>
          <w:b w:val="0"/>
          <w:i w:val="0"/>
        </w:rPr>
        <w:t xml:space="preserve">- Công báo, </w:t>
      </w:r>
      <w:r>
        <w:br/>
      </w:r>
      <w:r>
        <w:rPr>
          <w:b w:val="0"/>
          <w:i w:val="0"/>
        </w:rPr>
        <w:t>- Lưu VP, TCCB.</w:t>
      </w:r>
      <w:r>
        <w:rPr>
          <w:b w:val="0"/>
          <w:i w:val="0"/>
        </w:rPr>
        <w:br/>
      </w:r>
      <w:r>
        <w:rPr>
          <w:b w:val="0"/>
          <w:i w:val="0"/>
        </w:rPr>
        <w:br/>
      </w:r>
      <w:r>
        <w:rPr>
          <w:b/>
          <w:i w:val="0"/>
        </w:rPr>
        <w:t>KT.BỘ TRƯỞNG BỘ CÔNG NGHIỆP</w:t>
      </w:r>
      <w:r>
        <w:br/>
      </w:r>
      <w:r>
        <w:rPr>
          <w:b/>
          <w:i w:val="0"/>
        </w:rPr>
        <w:t xml:space="preserve">THỨ TRƯỞNG </w:t>
      </w:r>
      <w:r>
        <w:br/>
      </w:r>
      <w:r>
        <w:br/>
      </w:r>
      <w:r>
        <w:br/>
      </w:r>
      <w:r>
        <w:rPr>
          <w:b/>
          <w:i/>
        </w:rPr>
        <w:t>(Đã ký)</w:t>
      </w:r>
      <w:r>
        <w:br/>
      </w:r>
      <w:r>
        <w:br/>
      </w:r>
      <w:r>
        <w:br/>
      </w:r>
      <w:r>
        <w:rPr>
          <w:b/>
          <w:i w:val="0"/>
        </w:rPr>
        <w:br/>
        <w:t xml:space="preserve">           Đỗ Hữu Hào</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CÔNG NGHIỆP</w:t>
            </w:r>
            <w:r>
              <w:br/>
            </w:r>
            <w:r>
              <w:rPr>
                <w:b w:val="0"/>
                <w:i w:val="0"/>
              </w:rPr>
              <w:t>******</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Nơi nhận </w:t>
            </w:r>
            <w:r>
              <w:rPr>
                <w:b w:val="0"/>
                <w:i/>
              </w:rPr>
              <w:t>:</w:t>
            </w:r>
            <w:r>
              <w:br/>
            </w:r>
            <w:r>
              <w:rPr>
                <w:b w:val="0"/>
                <w:i w:val="0"/>
              </w:rPr>
              <w:t>- Như Điều 7,</w:t>
            </w:r>
            <w:r>
              <w:br/>
            </w:r>
            <w:r>
              <w:rPr>
                <w:b w:val="0"/>
                <w:i w:val="0"/>
              </w:rPr>
              <w:t>- VP Chính phủ,</w:t>
            </w:r>
            <w:r>
              <w:br/>
            </w:r>
            <w:r>
              <w:rPr>
                <w:b w:val="0"/>
                <w:i w:val="0"/>
              </w:rPr>
              <w:t xml:space="preserve">- Các Bộ : Kế hoạch và Đầu tư, Tài chính, Công an, LĐTB&amp;XH, Nội vụ, Tư pháp, </w:t>
            </w:r>
            <w:r>
              <w:br/>
            </w:r>
            <w:r>
              <w:rPr>
                <w:b w:val="0"/>
                <w:i w:val="0"/>
              </w:rPr>
              <w:t xml:space="preserve">- Ngân hàng Nhà nước, Kho bạc NN TW, </w:t>
            </w:r>
            <w:r>
              <w:br/>
            </w:r>
            <w:r>
              <w:rPr>
                <w:b w:val="0"/>
                <w:i w:val="0"/>
              </w:rPr>
              <w:t xml:space="preserve">- UBND Tỉnh Thái Nguyên, </w:t>
            </w:r>
            <w:r>
              <w:br/>
            </w:r>
            <w:r>
              <w:rPr>
                <w:b w:val="0"/>
                <w:i w:val="0"/>
              </w:rPr>
              <w:t>- Bộ trưởng (để b/c),</w:t>
            </w:r>
            <w:r>
              <w:br/>
            </w:r>
            <w:r>
              <w:rPr>
                <w:b w:val="0"/>
                <w:i w:val="0"/>
              </w:rPr>
              <w:t xml:space="preserve">- Các đồng chí Thứ trưởng, </w:t>
            </w:r>
            <w:r>
              <w:br/>
            </w:r>
            <w:r>
              <w:rPr>
                <w:b w:val="0"/>
                <w:i w:val="0"/>
              </w:rPr>
              <w:t xml:space="preserve">- Ban Đổi mới và PTDN Bộ, </w:t>
            </w:r>
            <w:r>
              <w:br/>
            </w:r>
            <w:r>
              <w:rPr>
                <w:b w:val="0"/>
                <w:i w:val="0"/>
              </w:rPr>
              <w:t>- Công đoàn Công nghiệp Việt Nam,</w:t>
            </w:r>
            <w:r>
              <w:br/>
            </w:r>
            <w:r>
              <w:rPr>
                <w:b w:val="0"/>
                <w:i w:val="0"/>
              </w:rPr>
              <w:t>- Công ty KLM Thái Nguyên (3b),</w:t>
            </w:r>
            <w:r>
              <w:br/>
            </w:r>
            <w:r>
              <w:rPr>
                <w:b w:val="0"/>
                <w:i w:val="0"/>
              </w:rPr>
              <w:t xml:space="preserve">- Công báo, </w:t>
            </w:r>
            <w:r>
              <w:br/>
            </w:r>
            <w:r>
              <w:rPr>
                <w:b w:val="0"/>
                <w:i w:val="0"/>
              </w:rPr>
              <w:t>- Lưu VP, TCCB.</w:t>
            </w:r>
          </w:p>
        </w:tc>
        <w:tc>
          <w:tcPr>
            <w:tcW w:type="dxa" w:w="4320"/>
          </w:tcPr>
          <w:p>
            <w:r>
              <w:rPr>
                <w:b w:val="0"/>
                <w:i w:val="0"/>
              </w:rPr>
              <w:br/>
            </w:r>
            <w:r>
              <w:rPr>
                <w:b/>
                <w:i w:val="0"/>
              </w:rPr>
              <w:t>KT.BỘ TRƯỞNG BỘ CÔNG NGHIỆP</w:t>
            </w:r>
            <w:r>
              <w:br/>
            </w:r>
            <w:r>
              <w:rPr>
                <w:b/>
                <w:i w:val="0"/>
              </w:rPr>
              <w:t xml:space="preserve">THỨ TRƯỞNG </w:t>
            </w:r>
            <w:r>
              <w:br/>
            </w:r>
            <w:r>
              <w:br/>
            </w:r>
            <w:r>
              <w:br/>
            </w:r>
            <w:r>
              <w:rPr>
                <w:b/>
                <w:i/>
              </w:rPr>
              <w:t>(Đã ký)</w:t>
            </w:r>
            <w:r>
              <w:br/>
            </w:r>
            <w:r>
              <w:br/>
            </w:r>
            <w:r>
              <w:br/>
            </w:r>
            <w:r>
              <w:rPr>
                <w:b/>
                <w:i w:val="0"/>
              </w:rPr>
              <w:br/>
              <w:t xml:space="preserve">           Đỗ Hữu Hào</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