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132/1999/QĐ-TTg Chuyển Công ty Cơ khí Xăng dầu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132/1999/QĐ-TTg</w:t>
      </w:r>
      <w:r>
        <w:rPr>
          <w:b w:val="0"/>
          <w:i w:val="0"/>
        </w:rPr>
        <w:br/>
      </w:r>
      <w:r>
        <w:rPr>
          <w:b w:val="0"/>
          <w:i w:val="0"/>
        </w:rPr>
        <w:br/>
      </w:r>
      <w:r>
        <w:rPr>
          <w:b w:val="0"/>
          <w:i/>
        </w:rPr>
        <w:br/>
      </w:r>
      <w:r>
        <w:rPr>
          <w:b w:val="0"/>
          <w:i/>
        </w:rPr>
        <w:t>Hà Nội, ngày 31 tháng 5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132/1999/QĐ-TTg</w:t>
      </w:r>
      <w:r>
        <w:rPr>
          <w:b w:val="0"/>
          <w:i w:val="0"/>
        </w:rPr>
        <w:br/>
      </w:r>
      <w:r>
        <w:rPr>
          <w:b w:val="0"/>
          <w:i w:val="0"/>
        </w:rPr>
        <w:br/>
      </w:r>
      <w:r>
        <w:rPr>
          <w:b w:val="0"/>
          <w:i/>
        </w:rPr>
        <w:br/>
      </w:r>
      <w:r>
        <w:rPr>
          <w:b w:val="0"/>
          <w:i/>
        </w:rPr>
        <w:t>Hà Nội, ngày 31 tháng 5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132/1999/QĐ-TTg</w:t>
      </w:r>
      <w:r>
        <w:rPr>
          <w:b w:val="0"/>
          <w:i w:val="0"/>
        </w:rPr>
        <w:br/>
      </w:r>
      <w:r>
        <w:rPr>
          <w:b w:val="0"/>
          <w:i w:val="0"/>
        </w:rPr>
        <w:br/>
      </w:r>
      <w:r>
        <w:rPr>
          <w:b w:val="0"/>
          <w:i/>
        </w:rPr>
        <w:br/>
      </w:r>
      <w:r>
        <w:rPr>
          <w:b w:val="0"/>
          <w:i/>
        </w:rPr>
        <w:t>Hà Nội, ngày 31 tháng 5 năm 1999</w:t>
      </w:r>
      <w:r>
        <w:rPr>
          <w:b w:val="0"/>
          <w:i/>
        </w:rPr>
        <w:br/>
      </w:r>
      <w:r>
        <w:rPr>
          <w:b w:val="0"/>
          <w:i w:val="0"/>
        </w:rPr>
        <w:br/>
      </w:r>
    </w:p>
    <w:p>
      <w:pPr>
        <w:jc w:val="center"/>
      </w:pPr>
      <w:r>
        <w:rPr>
          <w:b w:val="0"/>
          <w:i w:val="0"/>
        </w:rPr>
        <w:br/>
      </w:r>
      <w:r>
        <w:rPr>
          <w:b w:val="0"/>
          <w:i w:val="0"/>
        </w:rPr>
        <w:t>Số: 132/1999/QĐ-TTg</w:t>
      </w:r>
      <w:r>
        <w:rPr>
          <w:b w:val="0"/>
          <w:i w:val="0"/>
        </w:rPr>
        <w:br/>
      </w:r>
    </w:p>
    <w:p>
      <w:pPr>
        <w:jc w:val="center"/>
      </w:pPr>
      <w:r>
        <w:rPr>
          <w:b w:val="0"/>
          <w:i w:val="0"/>
        </w:rPr>
        <w:br/>
      </w:r>
      <w:r>
        <w:rPr>
          <w:b w:val="0"/>
          <w:i w:val="0"/>
        </w:rPr>
        <w:t>Hà Nội, ngày 31 tháng 5 năm 1999</w:t>
      </w:r>
      <w:r>
        <w:rPr>
          <w:b w:val="0"/>
          <w:i w:val="0"/>
        </w:rPr>
        <w:br/>
      </w:r>
    </w:p>
    <w:p>
      <w:r>
        <w:rPr>
          <w:b w:val="0"/>
          <w:i w:val="0"/>
        </w:rPr>
        <w:br/>
      </w:r>
      <w:r>
        <w:rPr>
          <w:b/>
          <w:i w:val="0"/>
        </w:rPr>
        <w:t>QUYẾT ĐỊNH CỦA THỦ TƯỚNG CHÍNH PHỦ</w:t>
      </w:r>
      <w:r>
        <w:rPr>
          <w:b w:val="0"/>
          <w:i w:val="0"/>
        </w:rPr>
        <w:br/>
      </w:r>
      <w:r>
        <w:rPr>
          <w:b/>
          <w:i/>
        </w:rPr>
        <w:t>Chuyển Công ty Cơ khí Xăng dầu thành Công ty cổ phần</w:t>
      </w:r>
      <w:r>
        <w:rPr>
          <w:b w:val="0"/>
          <w:i w:val="0"/>
        </w:rPr>
        <w:br/>
      </w:r>
      <w:r>
        <w:rPr>
          <w:b/>
          <w:i w:val="0"/>
        </w:rPr>
        <w:t xml:space="preserve">____________________________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w:t>
      </w:r>
      <w:r>
        <w:rPr>
          <w:b w:val="0"/>
          <w:i w:val="0"/>
        </w:rPr>
        <w:br/>
      </w:r>
      <w:r>
        <w:rPr>
          <w:b w:val="0"/>
          <w:i/>
        </w:rPr>
        <w:t>Theo đề nghị của Bộ trưởng Bộ Thương mại,</w:t>
      </w:r>
      <w:r>
        <w:rPr>
          <w:b w:val="0"/>
          <w:i w:val="0"/>
        </w:rPr>
        <w:br/>
      </w:r>
      <w:r>
        <w:rPr>
          <w:b/>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Phê duyệt phương án cổ phần hóa doanh nghiệp nhà nước Công ty Cơ khí Xăng dầu thuộc Tổng công ty Xăng dầu Việt Nam như sau:</w:t>
      </w:r>
      <w:r>
        <w:rPr>
          <w:b w:val="0"/>
          <w:i w:val="0"/>
        </w:rPr>
        <w:br/>
      </w:r>
      <w:r>
        <w:rPr>
          <w:b w:val="0"/>
          <w:i w:val="0"/>
        </w:rPr>
        <w:t>1. Vốn điều lệ : 32.000.000.000 đồng</w:t>
      </w:r>
      <w:r>
        <w:rPr>
          <w:b w:val="0"/>
          <w:i w:val="0"/>
        </w:rPr>
        <w:br/>
      </w:r>
      <w:r>
        <w:rPr>
          <w:b w:val="0"/>
          <w:i w:val="0"/>
        </w:rPr>
        <w:t>Trong đó :</w:t>
      </w:r>
      <w:r>
        <w:rPr>
          <w:b w:val="0"/>
          <w:i w:val="0"/>
        </w:rPr>
        <w:br/>
      </w:r>
      <w:r>
        <w:rPr>
          <w:b w:val="0"/>
          <w:i w:val="0"/>
        </w:rPr>
        <w:t>- Tỷ lệ cổ phần nhà nước 35% vốn Điều lệ,</w:t>
      </w:r>
      <w:r>
        <w:rPr>
          <w:b w:val="0"/>
          <w:i w:val="0"/>
        </w:rPr>
        <w:br/>
      </w:r>
      <w:r>
        <w:rPr>
          <w:b w:val="0"/>
          <w:i w:val="0"/>
        </w:rPr>
        <w:t>- Tỷ lệ cổ phần bán cho người lao động trong Công ty : 10% vốn Điều lệ,</w:t>
      </w:r>
      <w:r>
        <w:rPr>
          <w:b w:val="0"/>
          <w:i w:val="0"/>
        </w:rPr>
        <w:br/>
      </w:r>
      <w:r>
        <w:rPr>
          <w:b w:val="0"/>
          <w:i w:val="0"/>
        </w:rPr>
        <w:t>- Tỷ lệ cổ phần bán cho các đối tượng ngoài Công ty : 55% vốn Điều lệ.</w:t>
      </w:r>
      <w:r>
        <w:rPr>
          <w:b w:val="0"/>
          <w:i w:val="0"/>
        </w:rPr>
        <w:br/>
      </w:r>
      <w:r>
        <w:rPr>
          <w:b w:val="0"/>
          <w:i w:val="0"/>
        </w:rPr>
        <w:t>2. Giao cho Bộ trưởng Bộ Thương mại duyệt :</w:t>
      </w:r>
      <w:r>
        <w:rPr>
          <w:b w:val="0"/>
          <w:i w:val="0"/>
        </w:rPr>
        <w:br/>
      </w:r>
      <w:r>
        <w:rPr>
          <w:b w:val="0"/>
          <w:i w:val="0"/>
        </w:rPr>
        <w:t>- Số cổ phần bán theo giá ưu đãi cho người lao động và số cổ phần người lao động nghèo được mua trả dần trong Công ty Cơ khí Xăng dầu theo chế độ quy định.</w:t>
      </w:r>
      <w:r>
        <w:rPr>
          <w:b w:val="0"/>
          <w:i w:val="0"/>
        </w:rPr>
        <w:br/>
      </w:r>
      <w:r>
        <w:rPr>
          <w:b w:val="0"/>
          <w:i w:val="0"/>
        </w:rPr>
        <w:t>- Sử dụng số tiền bán cổ phần Công ty Cơ khí Xăng dầu theo quy định tại Nghị định số 44/1998/NĐ-CP ngày 29 tháng 6 năm 1998 của Chính phủ và Thông tư hướng dẫn của các Bộ.</w:t>
      </w:r>
      <w:r>
        <w:rPr>
          <w:b w:val="0"/>
          <w:i w:val="0"/>
        </w:rPr>
        <w:br/>
      </w:r>
      <w:r>
        <w:rPr>
          <w:b/>
          <w:i w:val="0"/>
        </w:rPr>
        <w:t>Điều 2.</w:t>
      </w:r>
      <w:r>
        <w:rPr>
          <w:b/>
          <w:i w:val="0"/>
        </w:rPr>
        <w:t xml:space="preserve"> </w:t>
      </w:r>
      <w:r>
        <w:rPr>
          <w:b w:val="0"/>
          <w:i w:val="0"/>
        </w:rPr>
        <w:t>Chuyển doanh nghiệp nhà nước : Công ty Cơ khí Xăng dầu thành Công ty cổ phần</w:t>
      </w:r>
      <w:r>
        <w:rPr>
          <w:b w:val="0"/>
          <w:i w:val="0"/>
        </w:rPr>
        <w:br/>
      </w:r>
      <w:r>
        <w:rPr>
          <w:b w:val="0"/>
          <w:i w:val="0"/>
        </w:rPr>
        <w:t>- Tên gọi đầy đủ của Công ty : Công ty cổ phần Cơ khí Xăng dầu,</w:t>
      </w:r>
      <w:r>
        <w:rPr>
          <w:b w:val="0"/>
          <w:i w:val="0"/>
        </w:rPr>
        <w:br/>
      </w:r>
      <w:r>
        <w:rPr>
          <w:b w:val="0"/>
          <w:i w:val="0"/>
        </w:rPr>
        <w:t>- Tên giao dịch : Petroleum Mechanical Stock Company,</w:t>
      </w:r>
      <w:r>
        <w:rPr>
          <w:b w:val="0"/>
          <w:i w:val="0"/>
        </w:rPr>
        <w:br/>
      </w:r>
      <w:r>
        <w:rPr>
          <w:b w:val="0"/>
          <w:i w:val="0"/>
        </w:rPr>
        <w:t>- Trụ sở chính : 446 Nơ Trang Long, quận Bình Thạnh, thành phố Hồ Chí Minh.</w:t>
      </w:r>
      <w:r>
        <w:rPr>
          <w:b w:val="0"/>
          <w:i w:val="0"/>
        </w:rPr>
        <w:br/>
      </w:r>
      <w:r>
        <w:rPr>
          <w:b/>
          <w:i w:val="0"/>
        </w:rPr>
        <w:t xml:space="preserve">Điều 3. </w:t>
      </w:r>
      <w:r>
        <w:rPr>
          <w:b w:val="0"/>
          <w:i w:val="0"/>
        </w:rPr>
        <w:t>Công ty cổ phần Cơ khí Xăng dầu kinh doanh các ngành nghề chính:</w:t>
      </w:r>
      <w:r>
        <w:rPr>
          <w:b w:val="0"/>
          <w:i w:val="0"/>
        </w:rPr>
        <w:br/>
      </w:r>
      <w:r>
        <w:rPr>
          <w:b w:val="0"/>
          <w:i w:val="0"/>
        </w:rPr>
        <w:t>- Sản xuất, kinh doanh cơ khí bao bì,</w:t>
      </w:r>
      <w:r>
        <w:rPr>
          <w:b w:val="0"/>
          <w:i w:val="0"/>
        </w:rPr>
        <w:br/>
      </w:r>
      <w:r>
        <w:rPr>
          <w:b w:val="0"/>
          <w:i w:val="0"/>
        </w:rPr>
        <w:t>- Xuất nhập khẩu nguyên liệu, thiết bị, vật tư phục vụ cho sản xuất kinh doanh.</w:t>
      </w:r>
      <w:r>
        <w:rPr>
          <w:b w:val="0"/>
          <w:i w:val="0"/>
        </w:rPr>
        <w:br/>
      </w:r>
      <w:r>
        <w:rPr>
          <w:b/>
          <w:i w:val="0"/>
        </w:rPr>
        <w:t>Điều 4.</w:t>
      </w:r>
      <w:r>
        <w:rPr>
          <w:b/>
          <w:i w:val="0"/>
        </w:rPr>
        <w:t xml:space="preserve"> </w:t>
      </w:r>
      <w:r>
        <w:rPr>
          <w:b w:val="0"/>
          <w:i w:val="0"/>
        </w:rPr>
        <w:t>Công ty cổ phần Cơ khí xăng dầu:</w:t>
      </w:r>
      <w:r>
        <w:rPr>
          <w:b w:val="0"/>
          <w:i w:val="0"/>
        </w:rPr>
        <w:br/>
      </w:r>
      <w:r>
        <w:rPr>
          <w:b w:val="0"/>
          <w:i w:val="0"/>
        </w:rPr>
        <w:t>- Có tư cách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Công ty.</w:t>
      </w:r>
      <w:r>
        <w:rPr>
          <w:b w:val="0"/>
          <w:i w:val="0"/>
        </w:rPr>
        <w:br/>
      </w:r>
      <w:r>
        <w:rPr>
          <w:b w:val="0"/>
          <w:i w:val="0"/>
        </w:rPr>
        <w:t>- Giám đốc và kế toán trưởng Công ty Cơ khí Xăng dầu có trách nhiệm điều hành công việc quản lý doanh nghiệp đến khi bàn giao toàn bộ cho Hội đồng quản trị và Giám đốc Công ty cổ phần Cơ khí Xăng dầu.</w:t>
      </w:r>
      <w:r>
        <w:rPr>
          <w:b w:val="0"/>
          <w:i w:val="0"/>
        </w:rPr>
        <w:br/>
      </w:r>
      <w:r>
        <w:rPr>
          <w:b/>
          <w:i w:val="0"/>
        </w:rPr>
        <w:t>Điều 5.</w:t>
      </w:r>
      <w:r>
        <w:rPr>
          <w:b/>
          <w:i w:val="0"/>
        </w:rPr>
        <w:t xml:space="preserve"> </w:t>
      </w:r>
      <w:r>
        <w:rPr>
          <w:b w:val="0"/>
          <w:i w:val="0"/>
        </w:rPr>
        <w:t>Quyết định này có hiệu lực thi hành từ ngày ký. Bãi bỏ các quyết định trước đây trái với Quyết định này. Bộ trưởng Bộ Thương mại, Hội đồng quản trị Tổng công ty Xăng dầu Việt Nam, Giám đốc Công ty cổ phần Cơ khí Xăng dầu, Thủ trưởng các đơn vị liên quan chịu trách nhiệm thi hành Quyết định này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