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132/2003/QĐ-BBCVT Về việc điều chỉnh mức cước liên lạc điện thoại đường dài liên tỉnh của dịch vụ điện thoại vô tuyến điện nội thị</w:t>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132/2003/QĐ-BBCVT</w:t>
        <w:br/>
        <w:t xml:space="preserve">    </w:t>
      </w:r>
      <w:r>
        <w:rPr>
          <w:b w:val="0"/>
          <w:i w:val="0"/>
        </w:rPr>
        <w:br/>
      </w:r>
      <w:r>
        <w:rPr>
          <w:b w:val="0"/>
          <w:i/>
        </w:rPr>
        <w:br/>
        <w:t xml:space="preserve">     Hà Nội, ngày 16 tháng 07 năm 2003</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132/2003/QĐ-BBCVT</w:t>
        <w:br/>
        <w:t xml:space="preserve">    </w:t>
      </w:r>
      <w:r>
        <w:rPr>
          <w:b w:val="0"/>
          <w:i w:val="0"/>
        </w:rPr>
        <w:br/>
      </w:r>
      <w:r>
        <w:rPr>
          <w:b w:val="0"/>
          <w:i/>
        </w:rPr>
        <w:br/>
        <w:t xml:space="preserve">     Hà Nội, ngày 16 tháng 07 năm 2003</w:t>
        <w:br/>
        <w:t xml:space="preserve">    </w:t>
      </w:r>
      <w:r>
        <w:rPr>
          <w:b w:val="0"/>
          <w:i w:val="0"/>
        </w:rPr>
        <w:br/>
      </w:r>
    </w:p>
    <w:p>
      <w:pPr>
        <w:jc w:val="center"/>
      </w:pPr>
      <w:r>
        <w:rPr>
          <w:b w:val="0"/>
          <w:i w:val="0"/>
        </w:rPr>
        <w:br/>
        <w:t xml:space="preserve">     Số: 132/2003/QĐ-BBCVT</w:t>
        <w:br/>
        <w:t xml:space="preserve">    </w:t>
      </w:r>
    </w:p>
    <w:p>
      <w:pPr>
        <w:jc w:val="center"/>
      </w:pPr>
      <w:r>
        <w:rPr>
          <w:b w:val="0"/>
          <w:i w:val="0"/>
        </w:rPr>
        <w:br/>
        <w:t xml:space="preserve">     Hà Nội, ngày 16 tháng 07 năm 2003</w:t>
        <w:br/>
        <w:t xml:space="preserve">    </w:t>
      </w:r>
    </w:p>
    <w:p>
      <w:r>
        <w:rPr>
          <w:b/>
          <w:i w:val="0"/>
        </w:rPr>
        <w:t xml:space="preserve">QUYẾT ĐỊNH </w:t>
      </w:r>
    </w:p>
    <w:p>
      <w:r>
        <w:rPr>
          <w:b/>
          <w:i w:val="0"/>
        </w:rPr>
        <w:t>Về việc điều chỉnh mức cước liên lạc điện thoại đường dài liên tỉnh của dịch vụ điện thoại vô tuyến điện nội thị</w:t>
      </w:r>
    </w:p>
    <w:p>
      <w:r>
        <w:rPr>
          <w:b/>
          <w:i w:val="0"/>
        </w:rPr>
        <w:t>__________________</w:t>
      </w:r>
    </w:p>
    <w:p>
      <w:r>
        <w:rPr>
          <w:b/>
          <w:i w:val="0"/>
        </w:rPr>
        <w:t>BỘ TRƯỞNG BỘ BƯU CHÍNH VIỄN THÔNG</w:t>
      </w:r>
    </w:p>
    <w:p>
      <w:r>
        <w:rPr>
          <w:b w:val="0"/>
          <w:i/>
        </w:rPr>
        <w:t>Căn cứ Nghị định số 90/2002/NĐ-CP ngày 11/11/2002 của Chính phủ quy định chức năng, nhiệm vụ, quyền hạn và cơ cấu tổ chức của Bộ Bưu chính, Viễn thông;</w:t>
      </w:r>
    </w:p>
    <w:p>
      <w:r>
        <w:rPr>
          <w:b w:val="0"/>
          <w:i/>
        </w:rPr>
        <w:t>Căn cứ Quyết định số 99/1998/QĐ-TTg ngày 26/05/1998 của Thủ tướng Chính phủ về quản lý giá và cước bưu chính, viễn thông;</w:t>
      </w:r>
    </w:p>
    <w:p>
      <w:r>
        <w:rPr>
          <w:b w:val="0"/>
          <w:i/>
        </w:rPr>
        <w:t>Căn cứ Thông tư số 03/1999/TT-TCBĐ ngày 11/05/1999 của Tổng cục trưởng Tổng cục Bưu điện hướng dẫn thi hành Nghị định số 109/CP ngày 12/11/1997 của Chính phủ về bưu chính và viễn thông và Quyết định số 99/1998/QĐ-TTg ngày 26/5/1998 của Thủ tướng Chính phủ về quản lý giá và cước bưu chính, viễn thông;</w:t>
      </w:r>
    </w:p>
    <w:p>
      <w:r>
        <w:rPr>
          <w:b w:val="0"/>
          <w:i/>
        </w:rPr>
        <w:t>Xét đề nghị của Tổng công ty Bưu chính, Viễn thông Việt Nam tại Công văn số 3073/GCTT ngày 06 tháng 6 năm 2003 về việc cước khuyến khích đối với dịch vụ điện thoại vô tuyến nội thị;</w:t>
      </w:r>
    </w:p>
    <w:p>
      <w:r>
        <w:rPr>
          <w:b w:val="0"/>
          <w:i/>
        </w:rPr>
        <w:t>Theo đề nghị của Vụ trưởng Vụ Kế hoạch - Tài chính,</w:t>
      </w:r>
    </w:p>
    <w:p>
      <w:r>
        <w:rPr>
          <w:b/>
          <w:i w:val="0"/>
        </w:rPr>
        <w:t>QUYẾT ĐỊNH:</w:t>
      </w:r>
    </w:p>
    <w:p>
      <w:r>
        <w:rPr>
          <w:b/>
          <w:i w:val="0"/>
        </w:rPr>
        <w:t>Điều 1.</w:t>
      </w:r>
      <w:r>
        <w:rPr>
          <w:b w:val="0"/>
          <w:i w:val="0"/>
        </w:rPr>
        <w:t xml:space="preserve"> Cước liên lạc điện thoại đường dài liên tỉnh gọi từ thuê bao vô tuyến nội thị vào mạng cố định PSTN và ngược lại áp dụng theo mức cước liên lạc của dịch vụ điện thoại đường dài liên tỉnh của mạng điện thoại công cộng - PSTN theo các quy định hiện hành.</w:t>
      </w:r>
    </w:p>
    <w:p>
      <w:r>
        <w:rPr>
          <w:b/>
          <w:i w:val="0"/>
        </w:rPr>
        <w:t>Điều 2.</w:t>
      </w:r>
      <w:r>
        <w:rPr>
          <w:b w:val="0"/>
          <w:i w:val="0"/>
        </w:rPr>
        <w:t xml:space="preserve"> Mức cước quy định tại điều 1 của Quyết định này thay thế cho mức cước tương ứng quy định tại mục c, khoản 2.3, điều 1, Quyết định số 67/2002/QĐ-BBCVT ngày 06 tháng 12 năm 2002 của Bộ trưởng Bộ BCVT.</w:t>
      </w:r>
    </w:p>
    <w:p>
      <w:r>
        <w:rPr>
          <w:b/>
          <w:i w:val="0"/>
        </w:rPr>
        <w:t>Điều 3.</w:t>
      </w:r>
      <w:r>
        <w:rPr>
          <w:b w:val="0"/>
          <w:i w:val="0"/>
        </w:rPr>
        <w:t xml:space="preserve"> Quyết định này có hiệu lực từ ngày 01/8/2003</w:t>
      </w:r>
    </w:p>
    <w:p>
      <w:r>
        <w:rPr>
          <w:b/>
          <w:i w:val="0"/>
        </w:rPr>
        <w:t xml:space="preserve">Điều 4. </w:t>
      </w:r>
      <w:r>
        <w:rPr>
          <w:b w:val="0"/>
          <w:i w:val="0"/>
        </w:rPr>
        <w:t>Chánh Văn phòng, Vụ trưởng Vụ Kế hoạch - Tài chính, Thủ trưởng các đơn vị thuộc Bộ Bưu chính, Viễn thông; Tổng Giám đốc, Giám đốc các doanh nghiệp cung cấp dịch vụ Viễn thông và Thủ trưởng các đơn vị có liên quan chịu trách nhiệm thi hành Quyết định này.</w:t>
      </w:r>
    </w:p>
    <w:p>
      <w:r>
        <w:rPr>
          <w:b w:val="0"/>
          <w:i w:val="0"/>
        </w:rPr>
        <w:br/>
      </w:r>
      <w:r>
        <w:rPr>
          <w:b/>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p>
    <w:p>
      <w:pPr>
        <w:jc w:val="center"/>
      </w:pPr>
      <w:r>
        <w:rPr>
          <w:b w:val="0"/>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Đình Lâm</w:t>
        <w:br/>
        <w:t xml:space="preserve">    </w:t>
      </w:r>
      <w:r>
        <w:rPr>
          <w:b w:val="0"/>
          <w:i w:val="0"/>
        </w:rPr>
        <w:br/>
      </w:r>
    </w:p>
    <w:p>
      <w:r>
        <w:rPr>
          <w:b w:val="0"/>
          <w:i w:val="0"/>
        </w:rPr>
        <w:br/>
        <w:t xml:space="preserve">     KT. BỘ TRƯỞNG </w:t>
      </w:r>
      <w:r>
        <w:rPr>
          <w:b/>
          <w:i w:val="0"/>
        </w:rPr>
        <w:t>BỘ BƯU CHÍNH VIỄN THÔNG</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Đình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