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133/2007/NQ-HĐND1 số 133/2007/NQ-HĐND về việc sử dụng nguồn tăng thu ngân sách năm 2007 và dự phòng ngân sách năm 2007 do Hội đồng nhân dân quận Bình Tân ban hành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 xml:space="preserve">QUẬN BÌNH TÂN </w:t>
      </w:r>
      <w:r>
        <w:br/>
      </w:r>
      <w:r>
        <w:rPr>
          <w:b/>
          <w:i w:val="0"/>
        </w:rPr>
        <w:t>-----</w:t>
      </w:r>
      <w:r>
        <w:rPr>
          <w:b w:val="0"/>
          <w:i w:val="0"/>
        </w:rPr>
        <w:br/>
      </w:r>
      <w:r>
        <w:rPr>
          <w:b w:val="0"/>
          <w:i w:val="0"/>
        </w:rPr>
        <w:br/>
      </w:r>
      <w:r>
        <w:rPr>
          <w:b/>
          <w:i w:val="0"/>
        </w:rPr>
        <w:t>CỘNG HÒA XÃ HỘI CHỦ NGHĨA VIỆT NAM</w:t>
      </w:r>
      <w:r>
        <w:rPr>
          <w:b w:val="0"/>
          <w:i w:val="0"/>
        </w:rPr>
        <w:br/>
      </w:r>
      <w:r>
        <w:rPr>
          <w:b/>
          <w:i w:val="0"/>
        </w:rPr>
        <w:t xml:space="preserve">Độc lập - Tự do - Hạnh Phúc </w:t>
      </w:r>
      <w:r>
        <w:br/>
      </w:r>
      <w:r>
        <w:rPr>
          <w:b/>
          <w:i w:val="0"/>
        </w:rPr>
        <w:t>-------</w:t>
      </w:r>
      <w:r>
        <w:rPr>
          <w:b w:val="0"/>
          <w:i w:val="0"/>
        </w:rPr>
        <w:br/>
      </w:r>
      <w:r>
        <w:rPr>
          <w:b w:val="0"/>
          <w:i w:val="0"/>
        </w:rPr>
        <w:br/>
      </w:r>
      <w:r>
        <w:rPr>
          <w:b w:val="0"/>
          <w:i w:val="0"/>
        </w:rPr>
        <w:br/>
      </w:r>
      <w:r>
        <w:rPr>
          <w:b w:val="0"/>
          <w:i w:val="0"/>
        </w:rPr>
        <w:br/>
      </w:r>
      <w:r>
        <w:rPr>
          <w:b w:val="0"/>
          <w:i w:val="0"/>
        </w:rPr>
        <w:t>Số: 133/2007/NQ-HĐND</w:t>
      </w:r>
      <w:r>
        <w:rPr>
          <w:b w:val="0"/>
          <w:i w:val="0"/>
        </w:rPr>
        <w:br/>
      </w:r>
      <w:r>
        <w:rPr>
          <w:b w:val="0"/>
          <w:i w:val="0"/>
        </w:rPr>
        <w:br/>
      </w:r>
      <w:r>
        <w:rPr>
          <w:b w:val="0"/>
          <w:i/>
        </w:rPr>
        <w:t>Bình Tân, ngày 27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 xml:space="preserve">QUẬN BÌNH TÂN </w:t>
            </w:r>
            <w:r>
              <w:br/>
            </w:r>
            <w:r>
              <w:rPr>
                <w:b/>
                <w:i w:val="0"/>
              </w:rPr>
              <w:t>-----</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r>
              <w:rPr>
                <w:b/>
                <w:i w:val="0"/>
              </w:rPr>
              <w:t>-------</w:t>
            </w:r>
          </w:p>
        </w:tc>
      </w:tr>
    </w:tbl>
    <w:p>
      <w:pPr>
        <w:jc w:val="center"/>
      </w:pPr>
      <w:r>
        <w:rPr>
          <w:b/>
          <w:i w:val="0"/>
        </w:rPr>
        <w:t>NGHỊ QUYẾT</w:t>
      </w:r>
    </w:p>
    <w:p>
      <w:pPr>
        <w:jc w:val="center"/>
      </w:pPr>
      <w:r>
        <w:rPr>
          <w:b w:val="0"/>
          <w:i w:val="0"/>
        </w:rPr>
        <w:t>VỀ SỬ DỤNG NGUỒN TĂNG THU NGÂN SÁCH NĂM 2007 VÀ DỰ PHÒNG NGÂN SÁCH NĂM 2007</w:t>
      </w:r>
    </w:p>
    <w:p>
      <w:pPr>
        <w:jc w:val="center"/>
      </w:pPr>
      <w:r>
        <w:rPr>
          <w:b/>
          <w:i w:val="0"/>
        </w:rPr>
        <w:t>HỘI ĐỒNG NHÂN DÂN QUẬN BÌNH TÂN KHÓA I, KỲ HỌP LẦN THỨ 9</w:t>
      </w:r>
    </w:p>
    <w:p>
      <w:pPr>
        <w:jc w:val="center"/>
      </w:pPr>
      <w:r>
        <w:rPr>
          <w:b w:val="0"/>
          <w:i w:val="0"/>
        </w:rPr>
        <w:t>(Ngày 26, 27 tháng 12 năm 2007)</w:t>
      </w:r>
    </w:p>
    <w:p>
      <w:r>
        <w:rPr>
          <w:b w:val="0"/>
          <w:i/>
        </w:rPr>
        <w:t xml:space="preserve">Căn cứ Luật Tổ chức Hội đồng nhân dân và Ủy ban nhân dân ngày 26 tháng 11 năm 2003; </w:t>
      </w:r>
      <w:r>
        <w:br/>
      </w:r>
      <w:r>
        <w:rPr>
          <w:b w:val="0"/>
          <w:i/>
        </w:rPr>
        <w:t xml:space="preserve">Căn cứ tài khoản 1 Điều 59 Luật Ngân sách nhà nước ngày 16 tháng 12 năm 2002; </w:t>
      </w:r>
      <w:r>
        <w:br/>
      </w:r>
      <w:r>
        <w:rPr>
          <w:b w:val="0"/>
          <w:i/>
        </w:rPr>
        <w:t>Trên cơ sở xem xét chậm số 1781/TTr-UBND ngày 19 tháng 12 năm 2007 của Ủy ban nhân dân và ý kiến ​​các đại biểu Hội đồng nhân dân quận, qua kết luận của chủ tọa tập đoàn,</w:t>
      </w:r>
    </w:p>
    <w:p>
      <w:pPr>
        <w:jc w:val="center"/>
      </w:pPr>
      <w:r>
        <w:rPr>
          <w:b/>
          <w:i w:val="0"/>
        </w:rPr>
        <w:t>QUYẾT NGHỊ:</w:t>
      </w:r>
    </w:p>
    <w:p>
      <w:r>
        <w:rPr>
          <w:b/>
          <w:i w:val="0"/>
        </w:rPr>
        <w:t>Điều 1.</w:t>
      </w:r>
      <w:r>
        <w:rPr>
          <w:b/>
          <w:i w:val="0"/>
        </w:rPr>
        <w:t xml:space="preserve"> </w:t>
      </w:r>
      <w:r>
        <w:rPr>
          <w:b w:val="0"/>
          <w:i w:val="0"/>
        </w:rPr>
        <w:t>Nhất trí thông qua phương án sử dụng kết quả tăng ngân sách năm 2007, dự phòng ngân sách năm 2007 như sau:</w:t>
      </w:r>
    </w:p>
    <w:p>
      <w:r>
        <w:rPr>
          <w:b/>
          <w:i w:val="0"/>
        </w:rPr>
        <w:t>I. VỀ TĂNG THU NGÂN SÁCH 2007:</w:t>
      </w:r>
    </w:p>
    <w:p>
      <w:r>
        <w:rPr>
          <w:b w:val="0"/>
          <w:i w:val="0"/>
        </w:rPr>
        <w:t>1. Số tăng thu được điều tiết: số thực thu được điều tiết - số dự toán thu được điều tiết = 112.074 tỷ lệ - 82.573 tỷ lệ = 29.501 tỷ đồng.</w:t>
      </w:r>
    </w:p>
    <w:p>
      <w:r>
        <w:rPr>
          <w:b w:val="0"/>
          <w:i w:val="0"/>
        </w:rPr>
        <w:t>2. Số chi trong năm 2007 là 13.305 tỷ đồng, trong đó hỗ trợ cho các đơn vị ngoài dự toán là 8.305 tỷ đồng và mua 10 Chiếc xe chuyên dùng cho Công an 10 phường là 5 tỷ đồng.</w:t>
      </w:r>
    </w:p>
    <w:p>
      <w:r>
        <w:rPr>
          <w:b w:val="0"/>
          <w:i w:val="0"/>
        </w:rPr>
        <w:t>3. Số tăng thu còn lại là 16.196 tỷ đồng. Ủy ban nhân dân quận kính Hội đồng nhân dân quận phương án sử dụng số tăng thu ngân sách 16.196 tỷ lệ (số tăng thu ngân sách còn lại) để điều chỉnh trang 200 mới tuyến hẻm năm 2008.</w:t>
      </w:r>
    </w:p>
    <w:p>
      <w:r>
        <w:rPr>
          <w:b/>
          <w:i w:val="0"/>
        </w:rPr>
        <w:t>II. VỀ DỰ PHÒNG NGÂN SÁCH NĂM 2007:</w:t>
      </w:r>
    </w:p>
    <w:p>
      <w:r>
        <w:rPr>
          <w:b w:val="0"/>
          <w:i w:val="0"/>
        </w:rPr>
        <w:t>1. Tổng dự phòng ngân sách năm 2007 là 8.342 tỷ đồng.</w:t>
      </w:r>
    </w:p>
    <w:p>
      <w:r>
        <w:rPr>
          <w:b w:val="0"/>
          <w:i w:val="0"/>
        </w:rPr>
        <w:t>2. Tổng chi dự phòng ngân sách năm 2007 là 1.685 đồng.</w:t>
      </w:r>
    </w:p>
    <w:p>
      <w:r>
        <w:rPr>
          <w:b w:val="0"/>
          <w:i w:val="0"/>
        </w:rPr>
        <w:t>3. Số dự phòng ngân sách năm 2007 còn lại là 6.657 tỷ đồng. Ủy ban nhân dân quận kính trình Hội đồng nhân dân quận để bố trí các chương trình sau:</w:t>
      </w:r>
    </w:p>
    <w:p>
      <w:r>
        <w:rPr>
          <w:b w:val="0"/>
          <w:i w:val="0"/>
        </w:rPr>
        <w:t>- Chi trả nợ tiền điện dân lập cho công ty Điện lực Bình Phú các năm trước là 3.105 tỷ đồng.</w:t>
      </w:r>
    </w:p>
    <w:p>
      <w:r>
        <w:rPr>
          <w:b w:val="0"/>
          <w:i w:val="0"/>
        </w:rPr>
        <w:t>- Chi đầu tư phát triển: 3.552 tỷ đồng</w:t>
      </w:r>
    </w:p>
    <w:p>
      <w:r>
        <w:rPr>
          <w:b/>
          <w:i w:val="0"/>
        </w:rPr>
        <w:t>III. VỀ CÁC KHOẢN ĐÃ TẠM ỨNG TỪ NGÂN SÁCH QUẬN ĐỂ THANH TOÁN CÁC CÔNG TRÌNH ĐÔ BAN QUẢN LÝ DỰ ÁN LÀM CHỦ Khởi TƯ:</w:t>
      </w:r>
    </w:p>
    <w:p>
      <w:r>
        <w:rPr>
          <w:b w:val="0"/>
          <w:i w:val="0"/>
        </w:rPr>
        <w:t>Tiếp tục tạm ứng cho Ban quản lý dự án ĐTXD quận là 14,689 tỷ đồng cho các quá trình sau:</w:t>
      </w:r>
    </w:p>
    <w:p>
      <w:r>
        <w:rPr>
          <w:b w:val="0"/>
          <w:i w:val="0"/>
        </w:rPr>
        <w:t>- Công trình san lấp khu tái định cư phường Bình Trị Đông: 3,7 tỷ đồng.</w:t>
      </w:r>
    </w:p>
    <w:p>
      <w:r>
        <w:rPr>
          <w:b w:val="0"/>
          <w:i w:val="0"/>
        </w:rPr>
        <w:t>- Công trình bốc mộ Trường THCS Bình Hưng Hòa A: 10 tỷ đồng.</w:t>
      </w:r>
    </w:p>
    <w:p>
      <w:r>
        <w:rPr>
          <w:b w:val="0"/>
          <w:i w:val="0"/>
        </w:rPr>
        <w:t>- Dự án xây dựng Chợ Bình Trị Đông: 0,989 tỷ đồng.</w:t>
      </w:r>
    </w:p>
    <w:p>
      <w:r>
        <w:rPr>
          <w:b/>
          <w:i w:val="0"/>
        </w:rPr>
        <w:t>Điều 2.</w:t>
      </w:r>
    </w:p>
    <w:p>
      <w:r>
        <w:rPr>
          <w:b w:val="0"/>
          <w:i w:val="0"/>
        </w:rPr>
        <w:t>- Giao cho Ủy ban nhân dân quận tổ chức thực hiện phương án sử dụng kết quả tăng ngân sách năm 2007, dự phòng ngân sách năm 2007 tại Điều 1 nêu trên và đúng quy định của pháp luật. Có báo cáo việc thực hiện, quyết định toán ở các Hội đồng nhân dân quận.</w:t>
      </w:r>
    </w:p>
    <w:p>
      <w:r>
        <w:rPr>
          <w:b w:val="0"/>
          <w:i w:val="0"/>
        </w:rPr>
        <w:t>- Giao cho Thường trực Hội đồng nhân dân và Bản Kinh tế - Xã hội hội đồng nhân dân quận giám sát việc thực hiện Nghị quyết này.</w:t>
      </w:r>
    </w:p>
    <w:p>
      <w:r>
        <w:rPr>
          <w:b w:val="0"/>
          <w:i w:val="0"/>
        </w:rPr>
        <w:t>Nghị quyết này đã được Hội đồng nhân dân khóa I (nhiệm kỳ 2004 - 2009) thông qua tại Kỳ họp lần thứ 9 ngày 27 tháng 12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rPr>
                <w:b/>
                <w:i w:val="0"/>
              </w:rPr>
              <w:t>Nguyễn Văn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