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135/QĐ-BNV Về việc phê duyệt dự án đầu tư “Kho T.IIB-02”</w:t>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135/QĐ-BNV</w:t>
        <w:br/>
        <w:t xml:space="preserve">    </w:t>
      </w:r>
      <w:r>
        <w:rPr>
          <w:b w:val="0"/>
          <w:i w:val="0"/>
        </w:rPr>
        <w:br/>
      </w:r>
      <w:r>
        <w:rPr>
          <w:b w:val="0"/>
          <w:i/>
        </w:rPr>
        <w:br/>
        <w:t xml:space="preserve">     Hà Nội, Ngày 10 tháng 9 năm 2002</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135/QĐ-BNV</w:t>
        <w:br/>
        <w:t xml:space="preserve">    </w:t>
      </w:r>
      <w:r>
        <w:rPr>
          <w:b w:val="0"/>
          <w:i w:val="0"/>
        </w:rPr>
        <w:br/>
      </w:r>
      <w:r>
        <w:rPr>
          <w:b w:val="0"/>
          <w:i/>
        </w:rPr>
        <w:br/>
        <w:t xml:space="preserve">     Hà Nội, Ngày 10 tháng 9 năm 2002</w:t>
        <w:br/>
        <w:t xml:space="preserve">    </w:t>
      </w:r>
      <w:r>
        <w:rPr>
          <w:b w:val="0"/>
          <w:i w:val="0"/>
        </w:rPr>
        <w:br/>
      </w:r>
    </w:p>
    <w:p>
      <w:pPr>
        <w:jc w:val="center"/>
      </w:pPr>
      <w:r>
        <w:rPr>
          <w:b w:val="0"/>
          <w:i w:val="0"/>
        </w:rPr>
        <w:br/>
        <w:t xml:space="preserve">     Số: 135/QĐ-BNV</w:t>
        <w:br/>
        <w:t xml:space="preserve">    </w:t>
      </w:r>
    </w:p>
    <w:p>
      <w:pPr>
        <w:jc w:val="center"/>
      </w:pPr>
      <w:r>
        <w:rPr>
          <w:b w:val="0"/>
          <w:i w:val="0"/>
        </w:rPr>
        <w:br/>
        <w:t xml:space="preserve">     Hà Nội, Ngày 10 tháng 9 năm 2002</w:t>
        <w:br/>
        <w:t xml:space="preserve">    </w:t>
      </w:r>
    </w:p>
    <w:p>
      <w:r>
        <w:rPr>
          <w:b/>
          <w:i w:val="0"/>
        </w:rPr>
        <w:t>QUYẾT ĐỊNH</w:t>
      </w:r>
    </w:p>
    <w:p>
      <w:r>
        <w:rPr>
          <w:b/>
          <w:i w:val="0"/>
        </w:rPr>
        <w:t>Về việc phê duyệt dự án đầu tư “Kho T.IIB-02”</w:t>
      </w:r>
    </w:p>
    <w:p>
      <w:r>
        <w:rPr>
          <w:b/>
          <w:i w:val="0"/>
        </w:rPr>
        <w:t>_________________________</w:t>
      </w:r>
    </w:p>
    <w:p>
      <w:r>
        <w:rPr>
          <w:b/>
          <w:i w:val="0"/>
        </w:rPr>
        <w:t xml:space="preserve">BỘ TRƯỞNG BỘ NỘI VỤ </w:t>
      </w:r>
    </w:p>
    <w:p>
      <w:r>
        <w:rPr>
          <w:b w:val="0"/>
          <w:i/>
        </w:rPr>
        <w:t>Căn cứ Nghị định số 15/CP ngày 02/3/1993 của Chính phủ về nhiệm vụ, quyền hạn và trách nhiệm quản lý Nhà nước của Bộ, cơ quan ngang Bộ;</w:t>
      </w:r>
      <w:r>
        <w:br/>
      </w:r>
      <w:r>
        <w:rPr>
          <w:b w:val="0"/>
          <w:i/>
        </w:rPr>
        <w:br/>
        <w:t xml:space="preserve">     Căn cứ Nghị định số 52/1999/NĐ-CP ngày 08/7/1999 của Chính phủ về Quy chế quản lý đầu tư và xây dựng, Nghị định số 12/2000/NĐ-CP ngày 05/5/2000 của Chính phủ về việc sửa đổi, bổ sung một số điều của Quy chế quản lý đầu tư và xây dựng;</w:t>
      </w:r>
      <w:r>
        <w:br/>
      </w:r>
      <w:r>
        <w:rPr>
          <w:b w:val="0"/>
          <w:i/>
        </w:rPr>
        <w:br/>
        <w:t xml:space="preserve">     Xét đề nghị của Cục trưởng Cục Lưu trữ Nhà nước tại văn bản số 424/LTNN-KH ngày 10/09/2002 về việc đề nghị phê duyệt dự án đầu tư “Kho T.IIB-02”, </w:t>
      </w:r>
    </w:p>
    <w:p>
      <w:r>
        <w:rPr>
          <w:b/>
          <w:i w:val="0"/>
        </w:rPr>
        <w:t xml:space="preserve">QUYẾT ĐỊNH: </w:t>
      </w:r>
    </w:p>
    <w:p>
      <w:r>
        <w:rPr>
          <w:b/>
          <w:i w:val="0"/>
        </w:rPr>
        <w:t>Điều 1.</w:t>
      </w:r>
      <w:r>
        <w:rPr>
          <w:b w:val="0"/>
          <w:i w:val="0"/>
        </w:rPr>
        <w:t xml:space="preserve"> Phê duyệt dự án đầu tư "Kho T.IIB-02" của Trung tâm Lưu trữ Quốc gia II do Viện Nghiên cứu kiến trúc lập, Công ty tư vấn Công nghệ thiết bị và Kiểm định Xây dựng (Bộ Xây dựng) thẩm định gồm những nội dung sau:</w:t>
      </w:r>
    </w:p>
    <w:p>
      <w:r>
        <w:rPr>
          <w:b/>
          <w:i w:val="0"/>
        </w:rPr>
        <w:t>1. Tên dự án đầu tư: Kho T.IIB-02.</w:t>
      </w:r>
    </w:p>
    <w:p>
      <w:r>
        <w:rPr>
          <w:b/>
          <w:i w:val="0"/>
        </w:rPr>
        <w:t>Mục tiêu đầu tư:</w:t>
      </w:r>
      <w:r>
        <w:rPr>
          <w:b w:val="0"/>
          <w:i w:val="0"/>
        </w:rPr>
        <w:t xml:space="preserve"> Xây kho bảo hiểm tài liệu lưu trữ Quốc gia cho những tài liệu thuộc diện bảo hiểm theo quy định tại Điều 17 của Pháp lệnh lưu trữ quốc gia.</w:t>
      </w:r>
    </w:p>
    <w:p>
      <w:r>
        <w:rPr>
          <w:b/>
          <w:i w:val="0"/>
        </w:rPr>
        <w:t xml:space="preserve">2. Chủ đầu tư: </w:t>
      </w:r>
      <w:r>
        <w:rPr>
          <w:b w:val="0"/>
          <w:i w:val="0"/>
        </w:rPr>
        <w:t>Trung tâm Lưu trữ Quốc gia II.</w:t>
      </w:r>
    </w:p>
    <w:p>
      <w:r>
        <w:rPr>
          <w:b/>
          <w:i w:val="0"/>
        </w:rPr>
        <w:t xml:space="preserve">3. Hình thức quản lý dự án: </w:t>
      </w:r>
      <w:r>
        <w:rPr>
          <w:b w:val="0"/>
          <w:i w:val="0"/>
        </w:rPr>
        <w:t>Chủ đầu tư trực tiếp quản lý dự án.</w:t>
      </w:r>
    </w:p>
    <w:p>
      <w:r>
        <w:rPr>
          <w:b/>
          <w:i w:val="0"/>
        </w:rPr>
        <w:t>4. Địa điểm</w:t>
      </w:r>
      <w:r>
        <w:rPr>
          <w:b w:val="0"/>
          <w:i w:val="0"/>
        </w:rPr>
        <w:t>: Số 2, Yết Kiêu, Thành phố Đà Lạt, tỉnh Lâm Đồng.</w:t>
      </w:r>
    </w:p>
    <w:p>
      <w:r>
        <w:rPr>
          <w:b/>
          <w:i w:val="0"/>
        </w:rPr>
        <w:t>5. Công suất thiết kế, phương án kiến trúc, cấp công trình:</w:t>
      </w:r>
    </w:p>
    <w:p>
      <w:r>
        <w:rPr>
          <w:b w:val="0"/>
          <w:i w:val="0"/>
        </w:rPr>
        <w:t xml:space="preserve"> - Xây mới nhà kho bảo hiểm tài liệu lưu trữ 5 tầng (trong đó có 3 tầng hầm) với diện tích sàn khoảng 2470 m2, có sức chứa quy ra tài liệu giấy khoảng 5000 mét giá;</w:t>
      </w:r>
    </w:p>
    <w:p>
      <w:r>
        <w:rPr>
          <w:b w:val="0"/>
          <w:i w:val="0"/>
        </w:rPr>
        <w:t xml:space="preserve"> - Nhà đặt máy điều hòa trung tâm: 40m2;</w:t>
      </w:r>
    </w:p>
    <w:p>
      <w:r>
        <w:rPr>
          <w:b w:val="0"/>
          <w:i w:val="0"/>
        </w:rPr>
        <w:t xml:space="preserve"> - Nhà cầu: 70m2;</w:t>
      </w:r>
    </w:p>
    <w:p>
      <w:r>
        <w:rPr>
          <w:b w:val="0"/>
          <w:i w:val="0"/>
        </w:rPr>
        <w:t>- Đường hầm: 70m2;</w:t>
      </w:r>
    </w:p>
    <w:p>
      <w:r>
        <w:rPr>
          <w:b w:val="0"/>
          <w:i w:val="0"/>
        </w:rPr>
        <w:t>- Đường bê tông rộng 4m, dài 60m;</w:t>
      </w:r>
    </w:p>
    <w:p>
      <w:r>
        <w:rPr>
          <w:b w:val="0"/>
          <w:i w:val="0"/>
        </w:rPr>
        <w:t xml:space="preserve"> - Cải tạo nhà kho số 4;</w:t>
      </w:r>
    </w:p>
    <w:p>
      <w:r>
        <w:rPr>
          <w:b w:val="0"/>
          <w:i w:val="0"/>
        </w:rPr>
        <w:t>- Cải tạo các công trình hiện có trong khuôn viên với tổng diện tích cải tạo là: 1064 m2;</w:t>
      </w:r>
    </w:p>
    <w:p>
      <w:r>
        <w:rPr>
          <w:b w:val="0"/>
          <w:i w:val="0"/>
        </w:rPr>
        <w:t>- Kè 200 m đường đá cho lối vào;</w:t>
      </w:r>
    </w:p>
    <w:p>
      <w:r>
        <w:rPr>
          <w:b w:val="0"/>
          <w:i w:val="0"/>
        </w:rPr>
        <w:t xml:space="preserve"> - Đầu tư trang thiết bị chuyên dùng lưu trữ cho Trung tâm;</w:t>
      </w:r>
    </w:p>
    <w:p>
      <w:r>
        <w:rPr>
          <w:b w:val="0"/>
          <w:i w:val="0"/>
        </w:rPr>
        <w:t xml:space="preserve"> - Cấp công trình: Cấp III;</w:t>
      </w:r>
    </w:p>
    <w:p>
      <w:r>
        <w:rPr>
          <w:b w:val="0"/>
          <w:i w:val="0"/>
        </w:rPr>
        <w:t xml:space="preserve"> - Bậc chịu lửa: Bậc I.</w:t>
      </w:r>
    </w:p>
    <w:p>
      <w:r>
        <w:rPr>
          <w:b/>
          <w:i w:val="0"/>
        </w:rPr>
        <w:t>6. Tổng mức đầu tư: 73.815.765.000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Xây lắp</w:t>
            </w:r>
            <w:r>
              <w:rPr>
                <w:b w:val="0"/>
                <w:i w:val="0"/>
              </w:rPr>
              <w:br/>
            </w:r>
            <w:r>
              <w:rPr>
                <w:b w:val="0"/>
                <w:i w:val="0"/>
              </w:rPr>
              <w:t>- Trang thiết bị:</w:t>
            </w:r>
            <w:r>
              <w:rPr>
                <w:b w:val="0"/>
                <w:i w:val="0"/>
              </w:rPr>
              <w:br/>
            </w:r>
            <w:r>
              <w:rPr>
                <w:b w:val="0"/>
                <w:i w:val="0"/>
              </w:rPr>
              <w:t>- Chi phí khác:</w:t>
            </w:r>
            <w:r>
              <w:rPr>
                <w:b w:val="0"/>
                <w:i w:val="0"/>
              </w:rPr>
              <w:br/>
            </w:r>
            <w:r>
              <w:rPr>
                <w:b w:val="0"/>
                <w:i w:val="0"/>
              </w:rPr>
              <w:t>- Dự phòng phí:</w:t>
            </w:r>
          </w:p>
        </w:tc>
        <w:tc>
          <w:tcPr>
            <w:tcW w:type="dxa" w:w="1234"/>
          </w:tcPr>
          <w:p>
            <w:r>
              <w:rPr>
                <w:b w:val="0"/>
                <w:i w:val="0"/>
              </w:rPr>
              <w:br/>
            </w:r>
          </w:p>
        </w:tc>
        <w:tc>
          <w:tcPr>
            <w:tcW w:type="dxa" w:w="1234"/>
          </w:tcPr>
          <w:p>
            <w:r>
              <w:rPr>
                <w:b w:val="0"/>
                <w:i w:val="0"/>
              </w:rPr>
              <w:br/>
            </w:r>
          </w:p>
        </w:tc>
        <w:tc>
          <w:tcPr>
            <w:tcW w:type="dxa" w:w="1234"/>
          </w:tcPr>
          <w:p>
            <w:r>
              <w:rPr>
                <w:b w:val="0"/>
                <w:i w:val="0"/>
              </w:rPr>
              <w:br/>
            </w:r>
          </w:p>
        </w:tc>
        <w:tc>
          <w:tcPr>
            <w:tcW w:type="dxa" w:w="1234"/>
          </w:tcPr>
          <w:p>
            <w:r>
              <w:rPr>
                <w:b w:val="0"/>
                <w:i w:val="0"/>
              </w:rPr>
              <w:br/>
            </w:r>
          </w:p>
        </w:tc>
        <w:tc>
          <w:tcPr>
            <w:tcW w:type="dxa" w:w="1234"/>
          </w:tcPr>
          <w:p>
            <w:r>
              <w:rPr>
                <w:b w:val="0"/>
                <w:i w:val="0"/>
              </w:rPr>
              <w:br/>
            </w:r>
          </w:p>
        </w:tc>
        <w:tc>
          <w:tcPr>
            <w:tcW w:type="dxa" w:w="1234"/>
          </w:tcPr>
          <w:p>
            <w:r>
              <w:rPr>
                <w:b w:val="0"/>
                <w:i w:val="0"/>
              </w:rPr>
              <w:br/>
            </w:r>
            <w:r>
              <w:rPr>
                <w:b w:val="0"/>
                <w:i w:val="0"/>
              </w:rPr>
              <w:t>25.882.300.000 đồng</w:t>
            </w:r>
            <w:r>
              <w:rPr>
                <w:b w:val="0"/>
                <w:i w:val="0"/>
              </w:rPr>
              <w:br/>
            </w:r>
            <w:r>
              <w:rPr>
                <w:b w:val="0"/>
                <w:i w:val="0"/>
              </w:rPr>
              <w:t>36.567.643.050 đồng</w:t>
            </w:r>
            <w:r>
              <w:rPr>
                <w:b w:val="0"/>
                <w:i w:val="0"/>
              </w:rPr>
              <w:br/>
            </w:r>
            <w:r>
              <w:rPr>
                <w:b w:val="0"/>
                <w:i w:val="0"/>
              </w:rPr>
              <w:t>4.655.297.407 đồng</w:t>
            </w:r>
            <w:r>
              <w:rPr>
                <w:b w:val="0"/>
                <w:i w:val="0"/>
              </w:rPr>
              <w:br/>
            </w:r>
            <w:r>
              <w:rPr>
                <w:b w:val="0"/>
                <w:i w:val="0"/>
              </w:rPr>
              <w:t>6.710.524.046 đồng</w:t>
            </w:r>
          </w:p>
        </w:tc>
      </w:tr>
    </w:tbl>
    <w:p>
      <w:r>
        <w:rPr>
          <w:b/>
          <w:i w:val="0"/>
        </w:rPr>
        <w:t xml:space="preserve">7. Nguồn vốn đầu tư: </w:t>
      </w:r>
      <w:r>
        <w:rPr>
          <w:b w:val="0"/>
          <w:i w:val="0"/>
        </w:rPr>
        <w:t>Ngân sách cấp</w:t>
      </w:r>
    </w:p>
    <w:p>
      <w:r>
        <w:rPr>
          <w:b/>
          <w:i w:val="0"/>
        </w:rPr>
        <w:t>8. Phương thức thực hiện dự án:</w:t>
      </w:r>
      <w:r>
        <w:rPr>
          <w:b w:val="0"/>
          <w:i w:val="0"/>
        </w:rPr>
        <w:t xml:space="preserve"> Đấu thầu</w:t>
      </w:r>
    </w:p>
    <w:p>
      <w:r>
        <w:rPr>
          <w:b/>
          <w:i w:val="0"/>
        </w:rPr>
        <w:t>9. Thời gian:</w:t>
      </w:r>
    </w:p>
    <w:p>
      <w:r>
        <w:rPr>
          <w:b w:val="0"/>
          <w:i w:val="0"/>
        </w:rPr>
        <w:t>- Năm 2002: Lập dự án và thiết kế;</w:t>
      </w:r>
    </w:p>
    <w:p>
      <w:r>
        <w:rPr>
          <w:b w:val="0"/>
          <w:i w:val="0"/>
        </w:rPr>
        <w:t xml:space="preserve"> - Năm 2003 - 2004: Xây dựng hoàn chỉnh nhà kho, sân vườn, tường rào.</w:t>
      </w:r>
    </w:p>
    <w:p>
      <w:r>
        <w:rPr>
          <w:b w:val="0"/>
          <w:i w:val="0"/>
        </w:rPr>
        <w:t xml:space="preserve"> - Năm 2005: Cải tạo nhà 1; 2; 3; 4; 5 và 8 và hoàn thành công trình.</w:t>
      </w:r>
    </w:p>
    <w:p>
      <w:r>
        <w:rPr>
          <w:b/>
          <w:i w:val="0"/>
        </w:rPr>
        <w:t xml:space="preserve">Điều 2. </w:t>
      </w:r>
      <w:r>
        <w:rPr>
          <w:b w:val="0"/>
          <w:i w:val="0"/>
        </w:rPr>
        <w:t>Chủ đầu tư Trung tâm Lưu trữ Quốc gia II có trách nhiệm triển khai thực hiện dự án theo các quy định hiện hành về quản lý đầu tư và xây dựng cơ bản và quản lý đấu thầu.</w:t>
      </w:r>
    </w:p>
    <w:p>
      <w:r>
        <w:rPr>
          <w:b/>
          <w:i w:val="0"/>
        </w:rPr>
        <w:t xml:space="preserve">Điều 3. </w:t>
      </w:r>
      <w:r>
        <w:rPr>
          <w:b w:val="0"/>
          <w:i w:val="0"/>
        </w:rPr>
        <w:t>Cục trưởng Cục Lưu trữ Nhà nước, Giám đốc Trung tâm Lưu trữ Quốc gia II và những người liên quan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Quốc Tiến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Quốc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