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139/2001/QĐ-TTg Về việc áp dụng chính sách Khu kinh tế cửa khẩu đường 19, tỉnh Gia Lai</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139/2001/QĐ-TTg</w:t>
      </w:r>
      <w:r>
        <w:rPr>
          <w:b w:val="0"/>
          <w:i w:val="0"/>
        </w:rPr>
        <w:br/>
      </w:r>
      <w:r>
        <w:rPr>
          <w:b w:val="0"/>
          <w:i w:val="0"/>
        </w:rPr>
        <w:br/>
      </w:r>
      <w:r>
        <w:rPr>
          <w:b w:val="0"/>
          <w:i/>
        </w:rPr>
        <w:br/>
      </w:r>
      <w:r>
        <w:rPr>
          <w:b w:val="0"/>
          <w:i/>
        </w:rPr>
        <w:t>Hà Nội, Ngày 21 tháng 9 năm 2001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139/2001/QĐ-TTg</w:t>
      </w:r>
      <w:r>
        <w:rPr>
          <w:b w:val="0"/>
          <w:i w:val="0"/>
        </w:rPr>
        <w:br/>
      </w:r>
      <w:r>
        <w:rPr>
          <w:b w:val="0"/>
          <w:i w:val="0"/>
        </w:rPr>
        <w:br/>
      </w:r>
      <w:r>
        <w:rPr>
          <w:b w:val="0"/>
          <w:i/>
        </w:rPr>
        <w:br/>
      </w:r>
      <w:r>
        <w:rPr>
          <w:b w:val="0"/>
          <w:i/>
        </w:rPr>
        <w:t>Hà Nội, Ngày 21 tháng 9 năm 2001</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139/2001/QĐ-TTg</w:t>
      </w:r>
      <w:r>
        <w:rPr>
          <w:b w:val="0"/>
          <w:i w:val="0"/>
        </w:rPr>
        <w:br/>
      </w:r>
      <w:r>
        <w:rPr>
          <w:b w:val="0"/>
          <w:i w:val="0"/>
        </w:rPr>
        <w:br/>
      </w:r>
      <w:r>
        <w:rPr>
          <w:b w:val="0"/>
          <w:i/>
        </w:rPr>
        <w:br/>
      </w:r>
      <w:r>
        <w:rPr>
          <w:b w:val="0"/>
          <w:i/>
        </w:rPr>
        <w:t>Hà Nội, Ngày 21 tháng 9 năm 2001</w:t>
      </w:r>
      <w:r>
        <w:rPr>
          <w:b w:val="0"/>
          <w:i/>
        </w:rPr>
        <w:br/>
      </w:r>
      <w:r>
        <w:rPr>
          <w:b w:val="0"/>
          <w:i w:val="0"/>
        </w:rPr>
        <w:br/>
      </w:r>
    </w:p>
    <w:p>
      <w:pPr>
        <w:jc w:val="center"/>
      </w:pPr>
      <w:r>
        <w:rPr>
          <w:b w:val="0"/>
          <w:i w:val="0"/>
        </w:rPr>
        <w:br/>
      </w:r>
      <w:r>
        <w:rPr>
          <w:b w:val="0"/>
          <w:i w:val="0"/>
        </w:rPr>
        <w:t>Số: 139/2001/QĐ-TTg</w:t>
      </w:r>
      <w:r>
        <w:rPr>
          <w:b w:val="0"/>
          <w:i w:val="0"/>
        </w:rPr>
        <w:br/>
      </w:r>
    </w:p>
    <w:p>
      <w:pPr>
        <w:jc w:val="center"/>
      </w:pPr>
      <w:r>
        <w:rPr>
          <w:b w:val="0"/>
          <w:i w:val="0"/>
        </w:rPr>
        <w:br/>
      </w:r>
      <w:r>
        <w:rPr>
          <w:b w:val="0"/>
          <w:i w:val="0"/>
        </w:rPr>
        <w:t>Hà Nội, Ngày 21 tháng 9 năm 2001</w:t>
      </w:r>
      <w:r>
        <w:rPr>
          <w:b w:val="0"/>
          <w:i w:val="0"/>
        </w:rPr>
        <w:br/>
      </w:r>
    </w:p>
    <w:p>
      <w:r>
        <w:rPr>
          <w:b/>
          <w:i w:val="0"/>
        </w:rPr>
        <w:t>QUYẾT ĐỊNH</w:t>
      </w:r>
    </w:p>
    <w:p>
      <w:r>
        <w:rPr>
          <w:b/>
          <w:i w:val="0"/>
        </w:rPr>
        <w:t>Về việc áp dụng chính sách khu kinh tế cửa khẩu Đường 19, tỉnh Gia Lai</w:t>
      </w:r>
    </w:p>
    <w:p>
      <w:r>
        <w:rPr>
          <w:b/>
          <w:i w:val="0"/>
        </w:rPr>
        <w:t>______________________________</w:t>
      </w:r>
      <w:r>
        <w:rPr>
          <w:b w:val="0"/>
          <w:i w:val="0"/>
        </w:rPr>
        <w:t xml:space="preserve"> </w:t>
      </w:r>
    </w:p>
    <w:p>
      <w:r>
        <w:rPr>
          <w:b/>
          <w:i w:val="0"/>
        </w:rPr>
        <w:t>THỦ TƯỚNG CHÍNH PHỦ</w:t>
      </w:r>
    </w:p>
    <w:p>
      <w:r>
        <w:rPr>
          <w:b w:val="0"/>
          <w:i/>
        </w:rPr>
        <w:t>Căn cứ Luật Tổ chức Chính phủ ngày 30 tháng 9 năm 1992;</w:t>
      </w:r>
    </w:p>
    <w:p>
      <w:pPr>
        <w:jc w:val="both"/>
      </w:pPr>
      <w:r>
        <w:rPr>
          <w:b w:val="0"/>
          <w:i/>
        </w:rPr>
        <w:t>Xét đề nghị của Chủ tịch Uỷ ban nhân dân tỉnh Gia Lai tại tờ trình số 1494/TT-UB ngày 26 tháng 10 năm 2000 và tờ trình bổ sung số 495/TT-UB ngày 04 tháng 4 năm 2001; đề nghị của Bộ trưởng Bộ Kế hoạch và Đầu tư tại tờ trình số 5443/BKH/QLKT ngày 14 tháng 8 năm 2001 và ý kiến của các Bộ, ngành Trung ương liên quan,</w:t>
      </w:r>
    </w:p>
    <w:p>
      <w:r>
        <w:rPr>
          <w:b/>
          <w:i w:val="0"/>
        </w:rPr>
        <w:t>QUYẾT ĐỊNH:</w:t>
      </w:r>
    </w:p>
    <w:p>
      <w:pPr>
        <w:jc w:val="both"/>
      </w:pPr>
      <w:r>
        <w:rPr>
          <w:b/>
          <w:i w:val="0"/>
        </w:rPr>
        <w:t xml:space="preserve">Điều 1. </w:t>
      </w:r>
      <w:r>
        <w:rPr>
          <w:b w:val="0"/>
          <w:i w:val="0"/>
        </w:rPr>
        <w:t>Khu kinh tế cửa khẩu đường 19, tỉnh Gia Lai bao gồm các xã: Ia Kla, Ia Pnon, Ia Nan, Ia Dom và thị trấn Chư Ty thuộc huyện Đức Cơ.</w:t>
      </w:r>
    </w:p>
    <w:p>
      <w:pPr>
        <w:jc w:val="both"/>
      </w:pPr>
      <w:r>
        <w:rPr>
          <w:b/>
          <w:i w:val="0"/>
        </w:rPr>
        <w:t xml:space="preserve">Điều 2. </w:t>
      </w:r>
      <w:r>
        <w:rPr>
          <w:b w:val="0"/>
          <w:i w:val="0"/>
        </w:rPr>
        <w:t>Khu kinh tế cửa khẩu đường 19, tỉnh Gia Lai được áp dụng Quyết định số 53/2001/QĐ-TTg ngày 19 tháng 4 năm 2001 của Thủ tướng Chính phủ về chính sách đối với Khu kinh tế cửa khẩu biên giới.</w:t>
      </w:r>
    </w:p>
    <w:p>
      <w:pPr>
        <w:jc w:val="both"/>
      </w:pPr>
      <w:r>
        <w:rPr>
          <w:b/>
          <w:i w:val="0"/>
        </w:rPr>
        <w:t xml:space="preserve">Điều 3. </w:t>
      </w:r>
      <w:r>
        <w:rPr>
          <w:b w:val="0"/>
          <w:i w:val="0"/>
        </w:rPr>
        <w:t>Trong quá trình thực hiện Uỷ ban nhân dân tỉnh Gia Lai có trách nhiệm:</w:t>
      </w:r>
    </w:p>
    <w:p>
      <w:pPr>
        <w:jc w:val="both"/>
      </w:pPr>
      <w:r>
        <w:rPr>
          <w:b w:val="0"/>
          <w:i w:val="0"/>
        </w:rPr>
        <w:t>- Phối hợp chặt chẽ với Bộ Quốc phòng, Bộ Công an để thực hiện tốt các dự án có liên quan đến chiến lược phòng thủ, nhằm phát triển kinh tế - xã hội, giữ gìn an ninh quốc gia.</w:t>
      </w:r>
    </w:p>
    <w:p>
      <w:pPr>
        <w:jc w:val="both"/>
      </w:pPr>
      <w:r>
        <w:rPr>
          <w:b w:val="0"/>
          <w:i w:val="0"/>
        </w:rPr>
        <w:t>- Sắp xếp thứ tự ưu tiên đầu tư xây dựng các công trình và hạng mục công trình để khi công trình hoàn thành đưa vào sử dụng có hiệu quả.</w:t>
      </w:r>
    </w:p>
    <w:p>
      <w:pPr>
        <w:jc w:val="both"/>
      </w:pPr>
      <w:r>
        <w:rPr>
          <w:b w:val="0"/>
          <w:i w:val="0"/>
        </w:rPr>
        <w:t>- Chủ trì, phối hợp với các Bộ, ngành liên quan tiến hành đánh giá việc áp dụng các chính sách nêu trên và kiến nghị Thủ tướng Chính phủ những điều chỉnh, bổ sung cần thiết.</w:t>
      </w:r>
    </w:p>
    <w:p>
      <w:pPr>
        <w:jc w:val="both"/>
      </w:pPr>
      <w:r>
        <w:rPr>
          <w:b/>
          <w:i w:val="0"/>
        </w:rPr>
        <w:t xml:space="preserve">Điều 4. </w:t>
      </w:r>
      <w:r>
        <w:rPr>
          <w:b w:val="0"/>
          <w:i w:val="0"/>
        </w:rPr>
        <w:t>Quyết định này có hiệu lực sau 15 ngày, kể từ ngày ký.</w:t>
      </w:r>
    </w:p>
    <w:p>
      <w:pPr>
        <w:jc w:val="both"/>
      </w:pPr>
      <w:r>
        <w:rPr>
          <w:b w:val="0"/>
          <w:i w:val="0"/>
        </w:rPr>
        <w:t>Các Bộ trưởng, Thủ trưởng cơ quan ngang Bộ, cơ quan thuộc Chính phủ và Chủ tịch Uỷ ban nhân dân tỉnh Gia Lai chịu trách nhiệm thi hành Quyết định này./.</w:t>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p>
    <w:p>
      <w:pPr>
        <w:jc w:val="center"/>
      </w:pPr>
      <w:r>
        <w:rPr>
          <w:b w:val="0"/>
          <w:i w:val="0"/>
        </w:rPr>
        <w:br/>
      </w:r>
      <w:r>
        <w:rPr>
          <w:b/>
          <w:i w:val="0"/>
        </w:rP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Phan Văn Khải</w:t>
      </w:r>
      <w:r>
        <w:rPr>
          <w:b/>
          <w:i w:val="0"/>
        </w:rPr>
        <w:br/>
      </w:r>
      <w:r>
        <w:rPr>
          <w:b w:val="0"/>
          <w:i w:val="0"/>
        </w:rPr>
        <w:br/>
      </w:r>
    </w:p>
    <w:p>
      <w:r>
        <w:rPr>
          <w:b w:val="0"/>
          <w:i w:val="0"/>
        </w:rP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Phan Văn Khải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