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139/2025/TT-BTC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THÔNG TƯ</w:t>
      </w:r>
      <w:r>
        <w:rPr>
          <w:b w:val="0"/>
          <w:i w:val="0"/>
        </w:rPr>
        <w:br/>
      </w:r>
      <w:r>
        <w:rPr>
          <w:b/>
          <w:i w:val="0"/>
        </w:rPr>
        <w:t>Thông tư sửa đổi, bổ sung một số điều của Thông tư số 57/2021/TT-BTC ngày 12 tháng 7 năm 2021 của Bộ trưởng Bộ Tài chính quy định lộ trình sắp xếp lại thị trưởng giao dịch cổ phiếu, thị trường giao dịch trái phiếu, thị trưởng giao dịch chứng khoán phát sinh và thị trường giao dịch các loại chứng khoán khác được sửa đổi, bổ sung bởi Thông tư số 69/2023/TT-BTC ngày 15 tháng 11 năm 2023 của Bộ trưởng Bộ Tài chính</w:t>
      </w:r>
      <w:r>
        <w:rPr>
          <w:b w:val="0"/>
          <w:i w:val="0"/>
        </w:rPr>
        <w:br/>
      </w:r>
      <w:r>
        <w:rPr>
          <w:b w:val="0"/>
          <w:i/>
        </w:rPr>
        <w:t xml:space="preserve">Căn cứ </w:t>
      </w:r>
      <w:r>
        <w:rPr>
          <w:b w:val="0"/>
          <w:i/>
        </w:rPr>
        <w:t>Luật Chứng khoán số 54/2019/QH14</w:t>
      </w:r>
      <w:r>
        <w:rPr>
          <w:b w:val="0"/>
          <w:i/>
        </w:rPr>
        <w:t xml:space="preserve"> được sửa đổi, bổ sung bởi Luật số </w:t>
      </w:r>
      <w:r>
        <w:rPr>
          <w:b w:val="0"/>
          <w:i/>
        </w:rPr>
        <w:t>56/2024/QH15</w:t>
      </w:r>
      <w:r>
        <w:rPr>
          <w:b w:val="0"/>
          <w:i/>
        </w:rPr>
        <w:t>;</w:t>
      </w:r>
      <w:r>
        <w:rPr>
          <w:b w:val="0"/>
          <w:i w:val="0"/>
        </w:rPr>
        <w:br/>
      </w:r>
      <w:r>
        <w:rPr>
          <w:b w:val="0"/>
          <w:i/>
        </w:rPr>
        <w:t xml:space="preserve">Căn cứ Nghị định số </w:t>
      </w:r>
      <w:r>
        <w:rPr>
          <w:b w:val="0"/>
          <w:i/>
        </w:rPr>
        <w:t>155/2020/NĐ-CP</w:t>
      </w:r>
      <w:r>
        <w:rPr>
          <w:b w:val="0"/>
          <w:i/>
        </w:rPr>
        <w:t xml:space="preserve"> ngày 31 tháng 12 năm 2020 của Chính phủ quy định chi tiết thi hành một số điều của </w:t>
      </w:r>
      <w:r>
        <w:rPr>
          <w:b w:val="0"/>
          <w:i/>
        </w:rPr>
        <w:t>Luật Chứng khoán</w:t>
      </w:r>
      <w:r>
        <w:rPr>
          <w:b w:val="0"/>
          <w:i/>
        </w:rPr>
        <w:t xml:space="preserve"> được sửa đổi, bổ sung bởi Nghị định số </w:t>
      </w:r>
      <w:r>
        <w:rPr>
          <w:b w:val="0"/>
          <w:i/>
        </w:rPr>
        <w:t>245/2025/NĐ-CP</w:t>
      </w:r>
      <w:r>
        <w:rPr>
          <w:b w:val="0"/>
          <w:i/>
        </w:rPr>
        <w:t xml:space="preserve"> ngày 11/9/2025;</w:t>
      </w:r>
      <w:r>
        <w:rPr>
          <w:b w:val="0"/>
          <w:i w:val="0"/>
        </w:rPr>
        <w:br/>
      </w:r>
      <w:r>
        <w:rPr>
          <w:b w:val="0"/>
          <w:i/>
        </w:rPr>
        <w:t xml:space="preserve">Căn cứ Nghị định số </w:t>
      </w:r>
      <w:r>
        <w:rPr>
          <w:b w:val="0"/>
          <w:i/>
        </w:rPr>
        <w:t>29/2025/NĐ-CP</w:t>
      </w:r>
      <w:r>
        <w:rPr>
          <w:b w:val="0"/>
          <w:i/>
        </w:rPr>
        <w:t xml:space="preserve"> ngày 24/02/2025 của Chính phủ quy định chức năng, nhiệm vụ, quyền hạn và cơ cấu tổ chức của Bộ Tài chính được sửa đổi, bổ sung bởi Nghị định số </w:t>
      </w:r>
      <w:r>
        <w:rPr>
          <w:b w:val="0"/>
          <w:i/>
        </w:rPr>
        <w:t>166/2025/NĐ-CP</w:t>
      </w:r>
      <w:r>
        <w:rPr>
          <w:b w:val="0"/>
          <w:i/>
        </w:rPr>
        <w:t>;</w:t>
      </w:r>
      <w:r>
        <w:rPr>
          <w:b w:val="0"/>
          <w:i w:val="0"/>
        </w:rPr>
        <w:br/>
      </w:r>
      <w:r>
        <w:rPr>
          <w:b w:val="0"/>
          <w:i/>
        </w:rPr>
        <w:t xml:space="preserve">Căn cứ Quyết định số </w:t>
      </w:r>
      <w:r>
        <w:rPr>
          <w:b w:val="0"/>
          <w:i/>
        </w:rPr>
        <w:t>37/2020/QĐ-TTg</w:t>
      </w:r>
      <w:r>
        <w:rPr>
          <w:b w:val="0"/>
          <w:i/>
        </w:rPr>
        <w:t xml:space="preserve"> ngày 23 tháng 12 năm 2020 của Thủ tướng Chính phủ thành lập, tổ chức và hoạt động của Sở Giao dịch Chứng khoán Việt Nam;</w:t>
      </w:r>
      <w:r>
        <w:rPr>
          <w:b w:val="0"/>
          <w:i w:val="0"/>
        </w:rPr>
        <w:br/>
      </w:r>
      <w:r>
        <w:rPr>
          <w:b w:val="0"/>
          <w:i/>
        </w:rPr>
        <w:t>Theo đề nghị của Chủ tịch Ủy ban Chứng khoán Nhà nước;</w:t>
      </w:r>
      <w:r>
        <w:rPr>
          <w:b w:val="0"/>
          <w:i w:val="0"/>
        </w:rPr>
        <w:br/>
      </w:r>
      <w:r>
        <w:rPr>
          <w:b w:val="0"/>
          <w:i/>
        </w:rPr>
        <w:t xml:space="preserve">Bộ trưởng Bộ Tài chính ban hành Thông tư sửa đổi, bổ sung một số điều của Thông tư số </w:t>
      </w:r>
      <w:r>
        <w:rPr>
          <w:b w:val="0"/>
          <w:i/>
        </w:rPr>
        <w:t>57/2021/TT-BTC</w:t>
      </w:r>
      <w:r>
        <w:rPr>
          <w:b w:val="0"/>
          <w:i/>
        </w:rPr>
        <w:t xml:space="preserve">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w:t>
      </w:r>
      <w:r>
        <w:rPr>
          <w:b w:val="0"/>
          <w:i/>
        </w:rPr>
        <w:t>69/2023/TT-BTC</w:t>
      </w:r>
      <w:r>
        <w:rPr>
          <w:b w:val="0"/>
          <w:i/>
        </w:rPr>
        <w:t xml:space="preserve"> ngày 15 tháng 11 năm 2023 của Bộ trưởng Bộ Tài chính</w:t>
      </w:r>
      <w:r>
        <w:rPr>
          <w:b w:val="0"/>
          <w:i w:val="0"/>
        </w:rPr>
        <w:br/>
      </w:r>
      <w:r>
        <w:rPr>
          <w:b/>
          <w:i w:val="0"/>
        </w:rPr>
        <w:t>Điều 1. Sửa đổi, bổ sung một số điểm, khoản của Điều 4 Thông tư số 57/2021/TT-BTC được sửa đổi, bổ sung bởi khoản 2, khoản 3 Điều 1 Thông tư số 69/2023/TT-BTC</w:t>
      </w:r>
      <w:r>
        <w:rPr>
          <w:b w:val="0"/>
          <w:i w:val="0"/>
        </w:rPr>
        <w:br/>
      </w:r>
      <w:r>
        <w:rPr>
          <w:b w:val="0"/>
          <w:i w:val="0"/>
        </w:rPr>
        <w:t>1. Sửa đổi điểm đ khoản 2 Điều 1 như sau:</w:t>
      </w:r>
      <w:r>
        <w:rPr>
          <w:b w:val="0"/>
          <w:i w:val="0"/>
        </w:rPr>
        <w:br/>
      </w:r>
      <w:r>
        <w:rPr>
          <w:b w:val="0"/>
          <w:i w:val="0"/>
        </w:rPr>
        <w:t>“đ) Chậm nhất đến hết ngày 31 tháng 12 năm 2026: Sở Giao dịch Chứng khoán thành phố Hồ Chí Minh hoàn thành việc tiếp nhận cổ phiếu của tổ chức niêm yết từ Sở Giao dịch Chứng khoán Hà Nội;”.</w:t>
      </w:r>
      <w:r>
        <w:rPr>
          <w:b w:val="0"/>
          <w:i w:val="0"/>
        </w:rPr>
        <w:br/>
      </w:r>
      <w:r>
        <w:rPr>
          <w:b w:val="0"/>
          <w:i w:val="0"/>
        </w:rPr>
        <w:t>2. Sửa đổi điểm d khoản 3 Điều 1 như sau:</w:t>
      </w:r>
      <w:r>
        <w:rPr>
          <w:b w:val="0"/>
          <w:i w:val="0"/>
        </w:rPr>
        <w:br/>
      </w:r>
      <w:r>
        <w:rPr>
          <w:b w:val="0"/>
          <w:i w:val="0"/>
        </w:rPr>
        <w:t>“d) Chậm nhất đến hết ngày 31 tháng 12 năm 2026: Sở Giao dịch Chứng khoán Hà Nội hoàn thành việc chuyển cổ phiếu của tổ chức niêm yết từ Sở Giao dịch Chứng khoán Hà Nội sang Sở Giao dịch Chứng khoán thành phố Hồ Chí Minh;”.</w:t>
      </w:r>
      <w:r>
        <w:rPr>
          <w:b w:val="0"/>
          <w:i w:val="0"/>
        </w:rPr>
        <w:br/>
      </w:r>
      <w:r>
        <w:rPr>
          <w:b/>
          <w:i w:val="0"/>
        </w:rPr>
        <w:t>Điều 2. Điều khoản thi hành</w:t>
      </w:r>
      <w:r>
        <w:rPr>
          <w:b w:val="0"/>
          <w:i w:val="0"/>
        </w:rPr>
        <w:br/>
      </w:r>
      <w:r>
        <w:rPr>
          <w:b w:val="0"/>
          <w:i w:val="0"/>
        </w:rPr>
        <w:t>1. Thông tư này có hiệu lực thi hành kể từ ngày 30 tháng 12 năm 2025.</w:t>
      </w:r>
      <w:r>
        <w:rPr>
          <w:b w:val="0"/>
          <w:i w:val="0"/>
        </w:rPr>
        <w:br/>
      </w:r>
      <w:r>
        <w:rPr>
          <w:b w:val="0"/>
          <w:i/>
        </w:rPr>
        <w:t xml:space="preserve">2. </w:t>
      </w:r>
      <w:r>
        <w:rPr>
          <w:b w:val="0"/>
          <w:i w:val="0"/>
        </w:rPr>
        <w:t>Sở Giao dịch Chứng khoán Việt Nam, Sở Giao dịch Chứng khoán Hà Nội, Sở Giao dịch Chứng khoán thành phố Hồ Chí Minh, tổ chức niêm yết, tổ chức đăng ký giao dịch, công ty đại chúng và các tổ chức, cá nhân khác có liên quan chịu trách nhiệm thi hành Thông tư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Ủy ban Trung ương Mặt trận Tổ quốc Việt Nam;</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Cục Kiểm tra văn bản và Quản lý xử lý vi phạm hành chính (Bộ Tư pháp);</w:t>
      </w:r>
      <w:r>
        <w:br/>
      </w:r>
      <w:r>
        <w:rPr>
          <w:b w:val="0"/>
          <w:i w:val="0"/>
        </w:rPr>
        <w:br/>
        <w:t xml:space="preserve">          - Liên đoàn thương mại và công nghiệp Việt Nam;</w:t>
      </w:r>
      <w:r>
        <w:br/>
      </w:r>
      <w:r>
        <w:rPr>
          <w:b w:val="0"/>
          <w:i w:val="0"/>
        </w:rPr>
        <w:br/>
        <w:t xml:space="preserve">          - Cơ sở dữ liệu quốc gia về pháp luật;</w:t>
      </w:r>
      <w:r>
        <w:br/>
      </w:r>
      <w:r>
        <w:rPr>
          <w:b w:val="0"/>
          <w:i w:val="0"/>
        </w:rPr>
        <w:br/>
        <w:t xml:space="preserve">          - Công báo; Cổng Thông tin điện tử Chính phủ;</w:t>
      </w:r>
      <w:r>
        <w:br/>
      </w:r>
      <w:r>
        <w:rPr>
          <w:b w:val="0"/>
          <w:i w:val="0"/>
        </w:rPr>
        <w:br/>
        <w:t xml:space="preserve">          - Cổng Thông tin điện tử Bộ Tài chính;</w:t>
      </w:r>
      <w:r>
        <w:br/>
      </w:r>
      <w:r>
        <w:rPr>
          <w:b w:val="0"/>
          <w:i w:val="0"/>
        </w:rPr>
        <w:br/>
        <w:t xml:space="preserve">          - Cổng Thông tin điện tử UBCKNN;</w:t>
      </w:r>
      <w:r>
        <w:br/>
      </w:r>
      <w:r>
        <w:rPr>
          <w:b w:val="0"/>
          <w:i w:val="0"/>
        </w:rPr>
        <w:br/>
        <w:t xml:space="preserve">          - Lưu: VT, UBCK (40 b).</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t>Nguyễn Đức Chi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Ủy ban Trung ương Mặt trận Tổ quốc Việt Nam;</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Cục Kiểm tra văn bản và Quản lý xử lý vi phạm hành chính (Bộ Tư pháp);</w:t>
            </w:r>
            <w:r>
              <w:br/>
            </w:r>
            <w:r>
              <w:rPr>
                <w:b w:val="0"/>
                <w:i w:val="0"/>
              </w:rPr>
              <w:br/>
              <w:t xml:space="preserve">          - Liên đoàn thương mại và công nghiệp Việt Nam;</w:t>
            </w:r>
            <w:r>
              <w:br/>
            </w:r>
            <w:r>
              <w:rPr>
                <w:b w:val="0"/>
                <w:i w:val="0"/>
              </w:rPr>
              <w:br/>
              <w:t xml:space="preserve">          - Cơ sở dữ liệu quốc gia về pháp luật;</w:t>
            </w:r>
            <w:r>
              <w:br/>
            </w:r>
            <w:r>
              <w:rPr>
                <w:b w:val="0"/>
                <w:i w:val="0"/>
              </w:rPr>
              <w:br/>
              <w:t xml:space="preserve">          - Công báo; Cổng Thông tin điện tử Chính phủ;</w:t>
            </w:r>
            <w:r>
              <w:br/>
            </w:r>
            <w:r>
              <w:rPr>
                <w:b w:val="0"/>
                <w:i w:val="0"/>
              </w:rPr>
              <w:br/>
              <w:t xml:space="preserve">          - Cổng Thông tin điện tử Bộ Tài chính;</w:t>
            </w:r>
            <w:r>
              <w:br/>
            </w:r>
            <w:r>
              <w:rPr>
                <w:b w:val="0"/>
                <w:i w:val="0"/>
              </w:rPr>
              <w:br/>
              <w:t xml:space="preserve">          - Cổng Thông tin điện tử UBCKNN;</w:t>
            </w:r>
            <w:r>
              <w:br/>
            </w:r>
            <w:r>
              <w:rPr>
                <w:b w:val="0"/>
                <w:i w:val="0"/>
              </w:rPr>
              <w:br/>
              <w:t xml:space="preserve">          - Lưu: VT, UBCK (40 b).</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