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14-TC/KTKT Về chế độ báo cáo tình hình nộp tiền lợi nhuận tiền khấu hao cơ bản và các khoản tiền khác của các xí nghiệp thương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br/>
            </w:r>
            <w:r>
              <w:br/>
            </w:r>
            <w:r>
              <w:rPr>
                <w:b w:val="0"/>
                <w:i w:val="0"/>
              </w:rPr>
              <w:br/>
            </w:r>
            <w:r>
              <w:rPr>
                <w:b w:val="0"/>
                <w:i w:val="0"/>
              </w:rPr>
              <w:t>Số: 14-TC/KTKT</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i w:val="0"/>
              </w:rPr>
              <w:t>---------------------------------------</w:t>
            </w:r>
            <w:r>
              <w:rPr>
                <w:b w:val="0"/>
                <w:i w:val="0"/>
              </w:rPr>
              <w:br/>
            </w:r>
            <w:r>
              <w:rPr>
                <w:b w:val="0"/>
                <w:i/>
              </w:rPr>
              <w:t>Hà Nội, ngày 21 tháng 02 năm 1959</w:t>
            </w:r>
          </w:p>
        </w:tc>
      </w:tr>
    </w:tbl>
    <w:p>
      <w:pPr>
        <w:jc w:val="center"/>
      </w:pPr>
      <w:r>
        <w:rPr>
          <w:b w:val="0"/>
          <w:i w:val="0"/>
        </w:rPr>
        <w:t xml:space="preserve"> </w:t>
      </w:r>
      <w:r>
        <w:rPr>
          <w:b/>
          <w:i w:val="0"/>
        </w:rPr>
        <w:t>THÔNG TƯ</w:t>
      </w:r>
      <w:r>
        <w:br/>
      </w:r>
      <w:r>
        <w:rPr>
          <w:b/>
          <w:i w:val="0"/>
        </w:rPr>
        <w:t xml:space="preserve">Về chế độ báo cáo tình hình nộp tiền lợi nhuận tiền khấu hao cơ bản và các </w:t>
      </w:r>
      <w:r>
        <w:br/>
      </w:r>
      <w:r>
        <w:rPr>
          <w:b/>
          <w:i w:val="0"/>
        </w:rPr>
        <w:br/>
        <w:t xml:space="preserve">      khoản tiền khác của các xí nghiệp thương nghiệp quốc doanh</w:t>
      </w:r>
    </w:p>
    <w:p>
      <w:r>
        <w:rPr>
          <w:b w:val="0"/>
          <w:i w:val="0"/>
        </w:rPr>
        <w:t>________________________</w:t>
      </w:r>
    </w:p>
    <w:p>
      <w:pPr>
        <w:jc w:val="both"/>
      </w:pPr>
      <w:r>
        <w:rPr>
          <w:b w:val="0"/>
          <w:i w:val="0"/>
        </w:rPr>
        <w:t>Tiếp theo Thông tư Liên bộ Thương nghiệp Tài chính và Ngân hàng Quốc gia số 127-TT/LB ngày 30-12-1958 về việc nộp các khoản tiền lợi nhuận, tiền khấu hao cơ bản cũng như các khoản tiền khác mà xí nghiệp Thương nghiệp quốc doanh phải nộp cho dự toán Nhà nước. Bộ quy định việc báo cáo của các Ty, Sở Tài chính về Bộ như sau:</w:t>
      </w:r>
    </w:p>
    <w:p>
      <w:pPr>
        <w:jc w:val="both"/>
      </w:pPr>
      <w:r>
        <w:rPr>
          <w:b/>
          <w:i w:val="0"/>
        </w:rPr>
        <w:t>1.</w:t>
      </w:r>
      <w:r>
        <w:rPr>
          <w:b/>
          <w:i w:val="0"/>
        </w:rPr>
        <w:t xml:space="preserve"> </w:t>
      </w:r>
      <w:r>
        <w:rPr>
          <w:b w:val="0"/>
          <w:i w:val="0"/>
        </w:rPr>
        <w:t>Hàng tháng, hàng quý và hàng năm, các Ty, Sở Tài chính phải báo cáo tình hình nộp của các đơn vị  nộp trong tỉnh, thành phố, Khu tự trị cho Bộ Tài chính.</w:t>
      </w:r>
    </w:p>
    <w:p>
      <w:pPr>
        <w:jc w:val="both"/>
      </w:pPr>
      <w:r>
        <w:rPr>
          <w:b/>
          <w:i w:val="0"/>
        </w:rPr>
        <w:t>2.</w:t>
      </w:r>
      <w:r>
        <w:rPr>
          <w:b/>
          <w:i w:val="0"/>
        </w:rPr>
        <w:t xml:space="preserve"> </w:t>
      </w:r>
      <w:r>
        <w:rPr>
          <w:b w:val="0"/>
          <w:i w:val="0"/>
        </w:rPr>
        <w:t>Báo cáo hàng tháng gồm:</w:t>
      </w:r>
    </w:p>
    <w:p>
      <w:pPr>
        <w:jc w:val="both"/>
      </w:pPr>
      <w:r>
        <w:rPr>
          <w:b w:val="0"/>
          <w:i w:val="0"/>
        </w:rPr>
        <w:t>a) Báo cáo số thu</w:t>
      </w:r>
      <w:r>
        <w:rPr>
          <w:b w:val="0"/>
          <w:i/>
        </w:rPr>
        <w:t xml:space="preserve"> bằng điện (</w:t>
      </w:r>
      <w:r>
        <w:rPr>
          <w:b w:val="0"/>
          <w:i w:val="0"/>
        </w:rPr>
        <w:t>mẫu số 1 kèm theo</w:t>
      </w:r>
      <w:r>
        <w:rPr>
          <w:b w:val="0"/>
          <w:i/>
        </w:rPr>
        <w:t xml:space="preserve">) gửi đến Bộ chậm nhất là ngày 12 hoặc ngày 17 mỗi tháng, </w:t>
      </w:r>
      <w:r>
        <w:rPr>
          <w:b w:val="0"/>
          <w:i w:val="0"/>
        </w:rPr>
        <w:t xml:space="preserve"> tùy theo thời hạn nộp của các đơn vị nộp trong tỉnh, thành phố và Khu tự trị.</w:t>
      </w:r>
    </w:p>
    <w:p>
      <w:pPr>
        <w:jc w:val="both"/>
      </w:pPr>
      <w:r>
        <w:rPr>
          <w:b w:val="0"/>
          <w:i w:val="0"/>
        </w:rPr>
        <w:t>b) Báo cáo tổng hợp tình hình nộp (mẫu số 2 kèm theo)</w:t>
      </w:r>
      <w:r>
        <w:rPr>
          <w:b w:val="0"/>
          <w:i/>
        </w:rPr>
        <w:t xml:space="preserve"> gửi đi chậm nhất là ngày 22 mỗi tháng. </w:t>
      </w:r>
      <w:r>
        <w:rPr>
          <w:b w:val="0"/>
          <w:i w:val="0"/>
        </w:rPr>
        <w:t>Các Ty, Sở Tài chính khi lập báo cáo này phải căn cứ vào báo cáo về những chỉ tiêu chính và bảng cân đối tài khoản hàng tháng của các đơn vị gửi cho mình để lập cho chính xác.</w:t>
      </w:r>
    </w:p>
    <w:p>
      <w:pPr>
        <w:jc w:val="both"/>
      </w:pPr>
      <w:r>
        <w:rPr>
          <w:b w:val="0"/>
          <w:i w:val="0"/>
        </w:rPr>
        <w:t>Ngoài ra, các Ty, Sở Tài chính cùng với Ty, Sở Thương nghiệp phải gửi lên Bộ Tài chính bảng tình hình điều hòa lỗ lãi, nộp và trả lại hàng tháng theo như mẫu đã đính kèm Thông tư Liên bộ nói trên.</w:t>
      </w:r>
    </w:p>
    <w:p>
      <w:pPr>
        <w:jc w:val="both"/>
      </w:pPr>
      <w:r>
        <w:rPr>
          <w:b/>
          <w:i w:val="0"/>
        </w:rPr>
        <w:t>3.</w:t>
      </w:r>
      <w:r>
        <w:rPr>
          <w:b/>
          <w:i w:val="0"/>
        </w:rPr>
        <w:t xml:space="preserve"> </w:t>
      </w:r>
      <w:r>
        <w:rPr>
          <w:b w:val="0"/>
          <w:i w:val="0"/>
        </w:rPr>
        <w:t>Về báo cáo hàng quý, các Ty, Sở Tài chính phải gửi lên Bộ Tài chính trước ngày 25 tháng thứ 2 sau khi hết quý. (Mẫu sẽ gửi sau).</w:t>
      </w:r>
    </w:p>
    <w:p>
      <w:pPr>
        <w:jc w:val="both"/>
      </w:pPr>
      <w:r>
        <w:rPr>
          <w:b/>
          <w:i w:val="0"/>
        </w:rPr>
        <w:t>4.</w:t>
      </w:r>
      <w:r>
        <w:rPr>
          <w:b/>
          <w:i w:val="0"/>
        </w:rPr>
        <w:t xml:space="preserve"> </w:t>
      </w:r>
      <w:r>
        <w:rPr>
          <w:b w:val="0"/>
          <w:i w:val="0"/>
        </w:rPr>
        <w:t>Về báo cáo hàng năm, các Ty, Sở Tài chính phải gửi lên Bộ Tài chính trước khi hết quý I năm sau (mẫu sẽ gửi sau).</w:t>
      </w:r>
    </w:p>
    <w:p>
      <w:pPr>
        <w:jc w:val="both"/>
      </w:pPr>
      <w:r>
        <w:rPr>
          <w:b w:val="0"/>
          <w:i w:val="0"/>
        </w:rPr>
        <w:t>Để Bộ kịp thời nắm tình hình chung giúp cho việc chỉ đạo công tác được nhanh, Bộ yêu cầu các Ty, Sở Tài chính cố gắng báo cáo được đầy đủ và kịp thời theo như những quy định trong Thông tư này. Trong quá trình thực hiện nếu có gặp khó khăn gì mong các Ty, Sở Tài chính phản ảnh để Bộ biết.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