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1413/2005/QĐ-UBND Về việc quy định cơ chế tài chính cho Công ty phát triển hạ tầng Khu công nghiệp Vũng Áng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1413/2005/QĐ-UBND</w:t>
      </w:r>
      <w:r>
        <w:rPr>
          <w:b w:val="0"/>
          <w:i w:val="0"/>
        </w:rPr>
        <w:br/>
      </w:r>
      <w:r>
        <w:rPr>
          <w:b w:val="0"/>
          <w:i w:val="0"/>
        </w:rPr>
        <w:br/>
      </w:r>
      <w:r>
        <w:rPr>
          <w:b w:val="0"/>
          <w:i/>
        </w:rPr>
        <w:br/>
      </w:r>
      <w:r>
        <w:rPr>
          <w:b w:val="0"/>
          <w:i/>
        </w:rPr>
        <w:t>Hà Tĩnh, ngày 14 tháng 7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1413/2005/QĐ-UBND</w:t>
      </w:r>
      <w:r>
        <w:rPr>
          <w:b w:val="0"/>
          <w:i w:val="0"/>
        </w:rPr>
        <w:br/>
      </w:r>
      <w:r>
        <w:rPr>
          <w:b w:val="0"/>
          <w:i w:val="0"/>
        </w:rPr>
        <w:br/>
      </w:r>
      <w:r>
        <w:rPr>
          <w:b w:val="0"/>
          <w:i/>
        </w:rPr>
        <w:br/>
      </w:r>
      <w:r>
        <w:rPr>
          <w:b w:val="0"/>
          <w:i/>
        </w:rPr>
        <w:t>Hà Tĩnh, ngày 14 tháng 7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1413/2005/QĐ-UBND</w:t>
      </w:r>
      <w:r>
        <w:rPr>
          <w:b w:val="0"/>
          <w:i w:val="0"/>
        </w:rPr>
        <w:br/>
      </w:r>
      <w:r>
        <w:rPr>
          <w:b w:val="0"/>
          <w:i w:val="0"/>
        </w:rPr>
        <w:br/>
      </w:r>
      <w:r>
        <w:rPr>
          <w:b w:val="0"/>
          <w:i/>
        </w:rPr>
        <w:br/>
      </w:r>
      <w:r>
        <w:rPr>
          <w:b w:val="0"/>
          <w:i/>
        </w:rPr>
        <w:t>Hà Tĩnh, ngày 14 tháng 7 năm 2005</w:t>
      </w:r>
      <w:r>
        <w:rPr>
          <w:b w:val="0"/>
          <w:i/>
        </w:rPr>
        <w:br/>
      </w:r>
      <w:r>
        <w:rPr>
          <w:b w:val="0"/>
          <w:i w:val="0"/>
        </w:rPr>
        <w:br/>
      </w:r>
    </w:p>
    <w:p>
      <w:pPr>
        <w:jc w:val="center"/>
      </w:pPr>
      <w:r>
        <w:rPr>
          <w:b w:val="0"/>
          <w:i w:val="0"/>
        </w:rPr>
        <w:br/>
      </w:r>
      <w:r>
        <w:rPr>
          <w:b w:val="0"/>
          <w:i w:val="0"/>
        </w:rPr>
        <w:t>Số: 1413/2005/QĐ-UBND</w:t>
      </w:r>
      <w:r>
        <w:rPr>
          <w:b w:val="0"/>
          <w:i w:val="0"/>
        </w:rPr>
        <w:br/>
      </w:r>
    </w:p>
    <w:p>
      <w:pPr>
        <w:jc w:val="center"/>
      </w:pPr>
      <w:r>
        <w:rPr>
          <w:b w:val="0"/>
          <w:i w:val="0"/>
        </w:rPr>
        <w:br/>
      </w:r>
      <w:r>
        <w:rPr>
          <w:b w:val="0"/>
          <w:i w:val="0"/>
        </w:rPr>
        <w:t>Hà Tĩnh, ngày 14 tháng 7 năm 2005</w:t>
      </w:r>
      <w:r>
        <w:rPr>
          <w:b w:val="0"/>
          <w:i w:val="0"/>
        </w:rPr>
        <w:br/>
      </w:r>
    </w:p>
    <w:p>
      <w:r>
        <w:rPr>
          <w:b/>
          <w:i w:val="0"/>
        </w:rPr>
        <w:t>QUYẾT ĐỊNH</w:t>
      </w:r>
    </w:p>
    <w:p>
      <w:r>
        <w:rPr>
          <w:b/>
          <w:i w:val="0"/>
        </w:rPr>
        <w:t>Về việc quy định cơ chế tài chính cho Công ty phát triển hạ tầng</w:t>
      </w:r>
    </w:p>
    <w:p>
      <w:r>
        <w:rPr>
          <w:b/>
          <w:i w:val="0"/>
        </w:rPr>
        <w:t>Khu công nghiệp Vũng Áng</w:t>
      </w:r>
    </w:p>
    <w:p>
      <w:r>
        <w:rPr>
          <w:b/>
          <w:i w:val="0"/>
        </w:rPr>
        <w:t>______________</w:t>
      </w:r>
    </w:p>
    <w:p>
      <w:r>
        <w:rPr>
          <w:b/>
          <w:i w:val="0"/>
        </w:rPr>
        <w:t>ỦY BAN NHÂN DÂN TỈNH HÀ TĨNH</w:t>
      </w:r>
    </w:p>
    <w:p>
      <w:r>
        <w:rPr>
          <w:b w:val="0"/>
          <w:i/>
        </w:rPr>
        <w:t>Căn cứ Luật Tổ ch</w:t>
      </w:r>
      <w:r>
        <w:rPr>
          <w:b w:val="0"/>
          <w:i/>
        </w:rPr>
        <w:t>ứ</w:t>
      </w:r>
      <w:r>
        <w:rPr>
          <w:b w:val="0"/>
          <w:i/>
        </w:rPr>
        <w:t>c HĐND và UBND ngày 26/11/2003;</w:t>
      </w:r>
    </w:p>
    <w:p>
      <w:r>
        <w:rPr>
          <w:b w:val="0"/>
          <w:i/>
        </w:rPr>
        <w:t>Căn cứ Quyết định số 577/2002/QĐ-TTg ngày 16/7/2002 của Chính phủ về việc thành lập và phê duyệt Dự án đầu tư xây dựng và kinh doanh hạ tầng kỹ thuật Khu công nghiệp Vũng Áng</w:t>
      </w:r>
      <w:r>
        <w:rPr>
          <w:b w:val="0"/>
          <w:i/>
        </w:rPr>
        <w:t>;</w:t>
      </w:r>
    </w:p>
    <w:p>
      <w:r>
        <w:rPr>
          <w:b w:val="0"/>
          <w:i/>
        </w:rPr>
        <w:t>Căn cứ Quy chế Khu công nghiệp, Khu chế xuất và Khu công nghiệp cao ban hành kèm theo Nghị định 36/CP ngày 24/4/1997 của Chính phủ;</w:t>
      </w:r>
    </w:p>
    <w:p>
      <w:r>
        <w:rPr>
          <w:b w:val="0"/>
          <w:i/>
        </w:rPr>
        <w:t>Căn cứ Quyết định số 343/2002/QĐ.UB.DN ngày 20/02/2002 của UBND tỉnh Hà Tĩnh về việc thành lập Công ty phát triển hạ tầng Khu công nghiệp Vũng Áng;</w:t>
      </w:r>
    </w:p>
    <w:p>
      <w:r>
        <w:rPr>
          <w:b w:val="0"/>
          <w:i/>
        </w:rPr>
        <w:t>Căn cứ Quyết định số 2632/QĐ-UB-CN</w:t>
      </w:r>
      <w:r>
        <w:rPr>
          <w:b w:val="0"/>
          <w:i/>
        </w:rPr>
        <w:t>2</w:t>
      </w:r>
      <w:r>
        <w:rPr>
          <w:b w:val="0"/>
          <w:i/>
        </w:rPr>
        <w:t xml:space="preserve"> ngày 11/11/2003 của UBND tỉnh Hà Tĩnh về việc ban hành Quy định một số chính sách ưu đãi và hỗ trợ đầu tư đối v</w:t>
      </w:r>
      <w:r>
        <w:rPr>
          <w:b w:val="0"/>
          <w:i/>
        </w:rPr>
        <w:t>ớ</w:t>
      </w:r>
      <w:r>
        <w:rPr>
          <w:b w:val="0"/>
          <w:i/>
        </w:rPr>
        <w:t>i các dự án đầu tư phát triển Công nghiệp - Tiểu thủ công nghiệp trên địa bàn Hà Tĩnh;</w:t>
      </w:r>
    </w:p>
    <w:p>
      <w:r>
        <w:rPr>
          <w:b w:val="0"/>
          <w:i/>
        </w:rPr>
        <w:t>Xét đề nghị của Công ty phát triển hạ tầng Khu công nghiệp Vũng Áng tại Công văn số 28/CV-CT ngày 7 tháng 6 năm 2005 và ý kiến của các Sở; Tài chính, Kế hoạch và Đầu tư, Ban Quản lý các Khu công nghiệp.</w:t>
      </w:r>
    </w:p>
    <w:p>
      <w:r>
        <w:rPr>
          <w:b/>
          <w:i w:val="0"/>
        </w:rPr>
        <w:t>QUYẾT ĐỊNH</w:t>
      </w:r>
    </w:p>
    <w:p>
      <w:r>
        <w:rPr>
          <w:b/>
          <w:i w:val="0"/>
        </w:rPr>
        <w:t xml:space="preserve">Điều 1. </w:t>
      </w:r>
      <w:r>
        <w:rPr>
          <w:b w:val="0"/>
          <w:i w:val="0"/>
        </w:rPr>
        <w:t>Công ty Phát triển hạ tầng Khu công nghiệp Vũng Áng là đơn vị sự nghiệp có thu, có tư cách pháp nhân, có con dấu và tài khoản riêng trực thuộc Ban Quản lý các Khu công nghiệp Hà Tĩnh, hoạt động tài chính theo Nghị định số 10/2002/NĐ-CP ngày 16/01/2002 của Chính phủ và các quy định của UBND tỉnh Hà Tĩnh, cụ thể nguồn thu, nhiệm vụ chi của công ty thực hiện theo nguyên tắc sau:</w:t>
      </w:r>
    </w:p>
    <w:p>
      <w:r>
        <w:rPr>
          <w:b w:val="0"/>
          <w:i w:val="0"/>
        </w:rPr>
        <w:t xml:space="preserve">- Nguồn thu sự nghiệp phần được để lại cho đơn vị theo quy định đưa vào bố trí chi thường xuyên gồm thu từ các khoản phí dịch vụ và tiện ích công cộng, thu hoạt động sự nghiệp khác. </w:t>
      </w:r>
    </w:p>
    <w:p>
      <w:r>
        <w:rPr>
          <w:b w:val="0"/>
          <w:i w:val="0"/>
        </w:rPr>
        <w:t xml:space="preserve">Chi hoạt động thường xuyên của đơn vị gồm: chi cho người lao động, chi quản lý hành chính, chi hoạt động nghiệp vụ, hoạt động tổ chức thu phí, lệ phí hoạt động cung ứng dịch vụ, mua sắm tài sản, sửa chữa thường xuyên tài sản thiết bị, chi khác. </w:t>
      </w:r>
    </w:p>
    <w:p>
      <w:r>
        <w:rPr>
          <w:b w:val="0"/>
          <w:i w:val="0"/>
        </w:rPr>
        <w:t xml:space="preserve">Trường hợp nguồn thu sự nghiệp của đơn vị tự đảm bảo được toàn bộ chi phí hoạt động thường xuyên, Ngân sách Nhà nước (NSNN) không phải cấp kinh phí hoạt động thường xuyên cho đơn vị. Nếu nguồn thu sự nghiệp chưa tự trang trải toàn bộ chi phí hoạt động thường xuyên thì NSNN cấp bổ sung chi phí hoạt động thường xuyên cho đơn vị. </w:t>
      </w:r>
    </w:p>
    <w:p>
      <w:r>
        <w:rPr>
          <w:b w:val="0"/>
          <w:i w:val="0"/>
        </w:rPr>
        <w:t>Công ty Phát triển hạ tầng Khu công nghiệp Vũng Áng xây dựng phương án trình UBND tỉnh về mức thu các loại phí, dịch vụ và các khoản thu sự nghiệp để có cơ sở pháp lý tổ chức thực hiện.</w:t>
      </w:r>
    </w:p>
    <w:p>
      <w:r>
        <w:rPr>
          <w:b/>
          <w:i w:val="0"/>
        </w:rPr>
        <w:t xml:space="preserve">Điều 2. </w:t>
      </w:r>
      <w:r>
        <w:rPr>
          <w:b w:val="0"/>
          <w:i w:val="0"/>
        </w:rPr>
        <w:t>Công ty Phát triển hạ tầng Khu công nghiệp Vũng Áng ký kết hợp đồng với các doanh nghiệp thuê lại đất tại Khu công nghiệp và cung cấp cho các doanh nghiệp các dịch vụ hạ tầng kỹ thuật theo giá của ủy ban nhân dân tỉnh quyết định và theo quy định của pháp luật.</w:t>
      </w:r>
    </w:p>
    <w:p>
      <w:r>
        <w:rPr>
          <w:b w:val="0"/>
          <w:i w:val="0"/>
        </w:rPr>
        <w:t xml:space="preserve">Công ty có trách nhiệm xây dựng giá cho thuê đất đã xây dựng kết cấu hạ tầng kỹ thuật, tiền sử dụng các công trình kết cấu hạ tầng, các dịch vụ và tiện ích công cộng do Công ty đầu tư xây dựng và kinh doanh; định giá cho thuê hoặc bán nhà xưởng, kho bãi và tiền dịch vụ cho UBND tỉnh quyết định sau khi có ý kiến đề xuất của Ban Quản lý các KCN, Sở Tài chính. </w:t>
      </w:r>
    </w:p>
    <w:p>
      <w:r>
        <w:rPr>
          <w:b w:val="0"/>
          <w:i w:val="0"/>
        </w:rPr>
        <w:t xml:space="preserve">Công ty trực tiếp thu tiền cho thuê lại đất, tiền sử dụng các công trình kết cấu hạ tầng, các công trình dịch vụ và tiện ích công cộng do Công ty đầu tư theo hợp đồng ký kết với bên thuê và những khoản thu khác (nếu có) từ các Doanh nghiệp Khu công nghiệp và các đối tượng liên quan và được quản lý như sau: </w:t>
      </w:r>
    </w:p>
    <w:p>
      <w:r>
        <w:rPr>
          <w:b w:val="0"/>
          <w:i w:val="0"/>
        </w:rPr>
        <w:t xml:space="preserve">Nguồn thu từ các công trình được đầu tư bằng nguồn vốn ngân sách Nhà nước, Công ty nộp ngân sách tỉnh 100% hình thành nguồn vốn để duy tu, bảo dưỡng, đầu tư hạ tầng khu công nghiệp. Nguồn thu từ các công trình được đầu tư bằng các nguồn vốn khác (như vốn vay, vốn ứng trước các nhà đầu tư...) được để lại 100% cho Công ty hình thành nguồn vốn để trả nợ vay, duy tu, bảo dưỡng, đầu tư hạ tầng KCN,... theo quy định. </w:t>
      </w:r>
    </w:p>
    <w:p>
      <w:r>
        <w:rPr>
          <w:b w:val="0"/>
          <w:i w:val="0"/>
        </w:rPr>
        <w:t xml:space="preserve">Nguồn thu hình thành từ nhiều nguồn vốn được tính trích nộp theo tỷ lệ vốn đóng góp vào công trình. </w:t>
      </w:r>
    </w:p>
    <w:p>
      <w:r>
        <w:rPr>
          <w:b w:val="0"/>
          <w:i w:val="0"/>
        </w:rPr>
        <w:t xml:space="preserve">Công ty có trách nhiệm nộp đúng và đầy đủ các khoản thu đã quy định vào ngân sách tỉnh, đồng thời sử dụng nguồn vốn đầu tư đúng mục đích, quản lý chặt chẽ theo đúng quy định của pháp luật. </w:t>
      </w:r>
    </w:p>
    <w:p>
      <w:r>
        <w:rPr>
          <w:b w:val="0"/>
          <w:i w:val="0"/>
        </w:rPr>
        <w:t xml:space="preserve">Công ty được ủy ban nhân dân tỉnh tạo điều kiện thuận lợi vay vốn ưu đãi của Nhà nước; vay vốn tín dụng ngân hàng, vốn tín dụng trong và ngoài nước, vốn ODA, vốn huy động hợp pháp khác để đầu tư xây dựng và phát triển hạ tầng các Khu công nghiệp, Công ty chịu trách nhiệm thu hồi vốn, trả nợ theo đúng quy định của pháp luật. </w:t>
      </w:r>
    </w:p>
    <w:p>
      <w:r>
        <w:rPr>
          <w:b w:val="0"/>
          <w:i w:val="0"/>
        </w:rPr>
        <w:t>ủy ban nhân dân tỉnh xem xét phê duyệt kế hoạch vốn đầu tư XDCB để duy tu, bảo dưỡng, đầu tư phát triển hạ tầng khu công nghiệp theo kế hoạch năm.</w:t>
      </w:r>
    </w:p>
    <w:p>
      <w:r>
        <w:rPr>
          <w:b/>
          <w:i w:val="0"/>
        </w:rPr>
        <w:t xml:space="preserve">Điều 3. </w:t>
      </w:r>
      <w:r>
        <w:rPr>
          <w:b w:val="0"/>
          <w:i w:val="0"/>
        </w:rPr>
        <w:t>Quyết định có hiệu lực kể từ ngày ký</w:t>
      </w:r>
    </w:p>
    <w:p>
      <w:r>
        <w:rPr>
          <w:b w:val="0"/>
          <w:i w:val="0"/>
        </w:rPr>
        <w:t>Chánh Văn phòng UBND tỉnh, Giám đốc các Sở; Tài chính, Kế hoạch và Đầu tư, Xây dựng, Tài nguyên và Môi trường; Giám đốc Kho bạc tỉnh, Cục trưởng Cục thuế, Trưởng ban Ban Quản lý các Khu công nghiệp, Giám đốc Công ty Phát triển hạ tầng Khu công nghiệp Vũng Áng và Thủ trưởng các cơ quan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Võ Kim Cự</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Võ Kim Cự</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i w:val="0"/>
        </w:rPr>
        <w:br/>
      </w:r>
      <w:r>
        <w:rPr>
          <w:b/>
          <w:i w:val="0"/>
        </w:rPr>
        <w:t>Võ Kim Cự</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Võ Kim Cự</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